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684.0" w:type="dxa"/>
        <w:jc w:val="left"/>
        <w:tblInd w:w="-10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4"/>
        <w:gridCol w:w="1800"/>
        <w:gridCol w:w="4500"/>
        <w:gridCol w:w="720"/>
        <w:gridCol w:w="900"/>
        <w:tblGridChange w:id="0">
          <w:tblGrid>
            <w:gridCol w:w="2764"/>
            <w:gridCol w:w="1800"/>
            <w:gridCol w:w="4500"/>
            <w:gridCol w:w="720"/>
            <w:gridCol w:w="900"/>
          </w:tblGrid>
        </w:tblGridChange>
      </w:tblGrid>
      <w:tr>
        <w:trPr>
          <w:cantSplit w:val="0"/>
          <w:trHeight w:val="35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1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65408</wp:posOffset>
                  </wp:positionH>
                  <wp:positionV relativeFrom="paragraph">
                    <wp:posOffset>127635</wp:posOffset>
                  </wp:positionV>
                  <wp:extent cx="1518285" cy="21558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18285" cy="2155825"/>
                          </a:xfrm>
                          <a:prstGeom prst="rect"/>
                          <a:ln/>
                        </pic:spPr>
                      </pic:pic>
                    </a:graphicData>
                  </a:graphic>
                </wp:anchor>
              </w:drawing>
            </w:r>
          </w:p>
        </w:tc>
        <w:tc>
          <w:tcPr>
            <w:gridSpan w:val="4"/>
            <w:tcBorders>
              <w:top w:color="000000" w:space="0" w:sz="4" w:val="single"/>
              <w:left w:color="000000" w:space="0" w:sz="4" w:val="single"/>
              <w:bottom w:color="000000" w:space="0" w:sz="4" w:val="single"/>
              <w:right w:color="000000" w:space="0" w:sz="4" w:val="single"/>
            </w:tcBorders>
            <w:shd w:fill="eeece1" w:val="cle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Силабус навчальної дисципліни</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ВД 3.1. «ПЕРСОНАЖ У КНИЖКОВІЙ ІЛЮСТРАЦІЇ»</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Спеціальність: B4 «Образотворче мистецтво та реставрація»</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Галузь знань: 02 «Культура і мистецтво»</w:t>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Рівень вищої освіти</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Перший (бакалаврський)</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Статус дисципліни</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Навчальна дисципліна вибіркового компонента професійного циклу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ОПП «Графіка вільна, оформлення та ілюстрація книги»</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Семестр</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Осінній, 5-ий семестр</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Обсяг дисципліни, кредити ЄКТС/загальна кількість годин</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кредити / 90 годин</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Мова викладання</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Українська</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Форма навчання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очна, онлайн</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Викладач(і)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Вергелес Галина Ростиславівна</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здобувач третього (освітньо-творчого) рівня вищої освіти ступеня доктора мистецтва кафедри графічних мистецтв у творчій  аспірантурі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Національної академії образотворчого мистецтва і архітектури.</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Е-mail:</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halyna.verheles@naoma.edu.ua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Анотація курсу</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Курс «Персонаж у книжковій ілюстрації» належить до вибіркових навчальних дисциплін. Він спрямований на формування у студентів системного розуміння принципів створення художнього образу персонажа, його ролі у візуальному наративі та взаємодії з текстом і композицією видання. Курс охоплює аналіз історичних, фольклорних і сучасних візуальних джерел, а також методи інтерпретації та трансформації образу в межах книжкової графіки.</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Вивчення курсу надає можливість набути практичних навичок розробки персонажа — від концепції та ескізу до завершеної ілюстрації — з урахуванням його характеру, пластики, стилістики та функції у структурі видання. Студенти опановують методи роботи з референсами, вчаться варіювати образ у різних візуальних рішеннях і формувати цілісну образну систему в контексті книжкового проєкту.</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Що буде вивчатися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(предмет навчання)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Предмет вивчення навчальної дисципліни охоплює принципи та методи створення художнього образу персонажа у книжковій ілюстрації, включаючи аналіз його характеру, наративної функції та пластичної структури. Особлива увага приділяється формуванню у студентів умінь інтегрувати персонажа у візуальну систему видання, враховуючи взаємозв’язок із текстом, композицією та загальною стилістикою твору.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Курс передбачає опанування методів роботи з літературними, фольклорними та візуальними джерелами, розвиток навичок інтерпретації та трансформації образу, а також створення варіативних і цілісних рішень персонажа у межах книжкового проєкту.</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Чому це цікаво/потрібно вивчати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(мета)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Мета дисципліни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сформувати у студентів систему знань і практичних навичок зі створення художнього образу персонажа у книжковій ілюстрації, розвинути вміння аналізувати літературний матеріал і трансформувати його у візуальну форму. Курс спрямований на опанування методів формування характеру, пластики та стилістики персонажа, а також на вміння інтегрувати його у цілісну візуальну структуру видання.</w:t>
            </w:r>
          </w:p>
          <w:p w:rsidR="00000000" w:rsidDel="00000000" w:rsidP="00000000" w:rsidRDefault="00000000" w:rsidRPr="00000000" w14:paraId="0000004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Набуті знання та навички дозволяють студентам створювати переконливі та варіативні образи персонажів для різних типів книжкових видань, що є важливою складовою професійної компетенції у сфері книжкової графіки та ілюстрації.</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Чому можна навчитися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(програмні результати навчання)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Програмні результати навчання (ПРН)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ПРН-1. Застосовувати комплексний художній підхід для створення цілісного образу.</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ПРН-6. Застосовувати знання з композиції, розробляти формальні площинні, об’ємні та просторові композиційні рішення і виконувати їх у відповідних графічних техніках та матеріалах.</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ПРН-7. Відображати морфологічні, стильові та кольоро-фактурні властивості об’єктів образотворчого мистецтва та використовувати існуючі методики в практичній діяльності з вільної та книжкової графіки.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ПРН-8. Аналізувати, стилізувати, інтерпретувати та трансформувати об’єкти для розроблення композиційних рішень і побудови художнього образу.</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ПРН-9. Застосовувати знання з історії мистецтв у професійній діяльності, впроваджувати український та зарубіжний мистецький досвід.</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ПРН-14. Трактувати формотворчі засоби образотворчого мистецтва та визначати їхню функціональну й естетичну специфіку у комунікативному просторі.</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c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Як можна користуватися набутими знаннями і вміннями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(компетентності)</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Загальні компетентності (ЗК):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3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ЗК-5. Здатність до абстрактного мислення, аналізу та синтезу.</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3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ЗК-6. Здатність застосовувати знання у практичних ситуаціях.</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3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ЗК-8. Здатність до пошуку, оброблення та аналізу інформації з різних джерел.</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3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ЗК-9. Здатність генерувати нові ідеї (креативність).</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3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ЗК-10. Навички міжособистісної взаємодії.</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3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ЗК-11. Здатність оцінювати та забезпечувати якість виконуваних робіт, мислити критично та самокритично.</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c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Фахові компетентності спеціальності (ФК):</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ФК-4. Здатність оволодівати різними техніками та технологіями роботи у відповідних матеріалах за спеціалізацією вільна та книжкова графіка.</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ФК-5. Здатність генерувати авторські інноваційні пошуки в практиці сучасного мистецтва.</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ФК-6. Здатність інтерпретувати смисли та засоби їх втілення у мистецькому, зокрема графічному творі.</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ФК-7. Здатність адаптувати творчу (індивідуальну та колективну) діяльність до вимог і умов споживача.</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ФК-8. Здатність використовувати набуті професійні знання у практичній та мистецтвознавчій діяльності, зокрема у практичній фаховій діяльності з вільної та книжкової графіки.</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ФК-9. Здатність презентувати графічні художні твори та дослідження у вітчизняному та міжнародному контекстах.</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c000"/>
                <w:sz w:val="24"/>
                <w:szCs w:val="24"/>
                <w:u w:val="none"/>
                <w:shd w:fill="auto" w:val="clear"/>
                <w:vertAlign w:val="baseline"/>
              </w:rPr>
            </w:pPr>
            <w:r w:rsidDel="00000000" w:rsidR="00000000" w:rsidRPr="00000000">
              <w:rPr>
                <w:rtl w:val="0"/>
              </w:rPr>
            </w:r>
          </w:p>
        </w:tc>
      </w:tr>
      <w:tr>
        <w:trPr>
          <w:cantSplit w:val="1"/>
          <w:trHeight w:val="55" w:hRule="atLeast"/>
          <w:tblHeader w:val="0"/>
        </w:trPr>
        <w:tc>
          <w:tcPr>
            <w:vMerge w:val="restart"/>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Навчальна логістика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Вид заняття: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К-сть годин</w:t>
            </w:r>
            <w:r w:rsidDel="00000000" w:rsidR="00000000" w:rsidRPr="00000000">
              <w:rPr>
                <w:rtl w:val="0"/>
              </w:rPr>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Модуль 1. Основи образу персонажа в книжковій ілюстрації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Лекції:</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Персонаж у системі художнього образу книжкової ілюстрації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Історичні та візуальні джерела формування образу персонажа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Персонаж як носій характеру та наративу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год.</w:t>
            </w:r>
          </w:p>
        </w:tc>
      </w:tr>
      <w:tr>
        <w:trPr>
          <w:cantSplit w:val="1"/>
          <w:trHeight w:val="371"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Практичні/семінари: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 Аналіз образу персонажа в книжковій ілюстрації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год.</w:t>
            </w:r>
          </w:p>
        </w:tc>
      </w:tr>
      <w:tr>
        <w:trPr>
          <w:cantSplit w:val="1"/>
          <w:trHeight w:val="371"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 Робота з архівами та візуальними референсами у створенні персонажа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Семінар 1: Дослідження історичних та фольклорних джерел для формування образу персонажа, пошук художніх технік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6. Розробка персонажа на основі дослідження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Модуль 2. Практика створення персонажа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71"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Лекції:</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7. Стилістичні джерела формування образу персонажа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Практичні/</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семінари: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8. Варіативність образу одного персонажа в ілюстрації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9. Серія ескізів персонажа з різними образними та стилістичними рішеннями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10. Дизайн та художня розробка персонажа в книжковій ілюстрації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Самостійна робота (індивідуальне навчально-творче завдання)</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Дослідження історичних та фольклорних джерел для формування образу персонажа, пошук художніх технік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Пошук і аналіз візуальних референсів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год.</w:t>
            </w:r>
          </w:p>
        </w:tc>
      </w:tr>
      <w:tr>
        <w:trPr>
          <w:cantSplit w:val="1"/>
          <w:trHeight w:val="536"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Серія ескізів персонажа з різними образними та стилістичними рішеннями.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год.</w:t>
            </w:r>
          </w:p>
        </w:tc>
      </w:tr>
      <w:tr>
        <w:trPr>
          <w:cantSplit w:val="1"/>
          <w:trHeight w:val="5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Фінальна ілюстрація персонажів (3 шт.)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год.</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Пререквізити</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Дисципліни художньо-практичного та теоретичного циклу, що формують базові навички рисунка, композиції та історико-мистецького аналізу.</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Постреквізити</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Дисципліни професійного циклу, пов’язані з книжковою ілюстрацією, проєктуванням видання та виконанням кваліфікаційного творчого проєкту.</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Методи навчання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Словесні: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лекція із застосуванням комп'ютерних інформаційних технологій (PowerPoint – Презентація), пояснення, розповідь, бесіда.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Теоретичні: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репродуктивні, проблемного викладу, пояснювально-ілюстративні, частково-пошукові.</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Практичні методи навчання: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лабораторні дослідження, практична робота, дослідницька робота. Методи контролю і самоконтролю у навчанні.</w:t>
            </w:r>
          </w:p>
        </w:tc>
      </w:tr>
      <w:tr>
        <w:trPr>
          <w:cantSplit w:val="0"/>
          <w:trHeight w:val="35" w:hRule="atLeast"/>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Семестровий контроль, екзаменаційна методика</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Поточний, екзаменаційний перегляд.</w:t>
            </w:r>
          </w:p>
        </w:tc>
      </w:tr>
      <w:tr>
        <w:trPr>
          <w:cantSplit w:val="1"/>
          <w:trHeight w:val="35" w:hRule="atLeast"/>
          <w:tblHeader w:val="0"/>
        </w:trPr>
        <w:tc>
          <w:tcPr>
            <w:vMerge w:val="restart"/>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Розрахунок рейтингових балів за видами</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поточного (модульного) контролю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Вид діяльності</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К-сть балів</w:t>
            </w:r>
            <w:r w:rsidDel="00000000" w:rsidR="00000000" w:rsidRPr="00000000">
              <w:rPr>
                <w:rtl w:val="0"/>
              </w:rPr>
            </w:r>
          </w:p>
        </w:tc>
      </w:tr>
      <w:tr>
        <w:trPr>
          <w:cantSplit w:val="1"/>
          <w:trHeight w:val="32"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Відвідування лекцій та практичних занять</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балів</w:t>
            </w:r>
          </w:p>
        </w:tc>
      </w:tr>
      <w:tr>
        <w:trPr>
          <w:cantSplit w:val="1"/>
          <w:trHeight w:val="32"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Виконання завдання для самостійної роботи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балів</w:t>
            </w:r>
          </w:p>
        </w:tc>
      </w:tr>
      <w:tr>
        <w:trPr>
          <w:cantSplit w:val="1"/>
          <w:trHeight w:val="32"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Робота на практичному занятті</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балів</w:t>
            </w:r>
          </w:p>
        </w:tc>
      </w:tr>
      <w:tr>
        <w:trPr>
          <w:cantSplit w:val="1"/>
          <w:trHeight w:val="32"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Своєчасність виконання завдань</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балів</w:t>
            </w:r>
          </w:p>
        </w:tc>
      </w:tr>
      <w:tr>
        <w:trPr>
          <w:cantSplit w:val="1"/>
          <w:trHeight w:val="32"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Індивідуальне навчально-творче завдання (ІНТЗ)</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балів</w:t>
            </w:r>
          </w:p>
        </w:tc>
      </w:tr>
      <w:tr>
        <w:trPr>
          <w:cantSplit w:val="1"/>
          <w:trHeight w:val="32"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Підсумковий контроль (екзаменаційний перегляд)</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балів</w:t>
            </w:r>
          </w:p>
        </w:tc>
      </w:tr>
      <w:tr>
        <w:trPr>
          <w:cantSplit w:val="1"/>
          <w:trHeight w:val="32"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Підсумковий рейтинг</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 балів</w:t>
            </w:r>
            <w:r w:rsidDel="00000000" w:rsidR="00000000" w:rsidRPr="00000000">
              <w:rPr>
                <w:rtl w:val="0"/>
              </w:rPr>
            </w:r>
          </w:p>
        </w:tc>
      </w:tr>
      <w:tr>
        <w:trPr>
          <w:cantSplit w:val="1"/>
          <w:trHeight w:val="23" w:hRule="atLeast"/>
          <w:tblHeader w:val="0"/>
        </w:trPr>
        <w:tc>
          <w:tcPr>
            <w:vMerge w:val="restart"/>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9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Критерії оцінювання індивідуального</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навчально-творчого завдання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Критерії:</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К-сть балів</w:t>
            </w:r>
            <w:r w:rsidDel="00000000" w:rsidR="00000000" w:rsidRPr="00000000">
              <w:rPr>
                <w:rtl w:val="0"/>
              </w:rPr>
            </w:r>
          </w:p>
        </w:tc>
      </w:tr>
      <w:tr>
        <w:trPr>
          <w:cantSplit w:val="1"/>
          <w:trHeight w:val="2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Креативність</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балів</w:t>
            </w:r>
          </w:p>
        </w:tc>
      </w:tr>
      <w:tr>
        <w:trPr>
          <w:cantSplit w:val="1"/>
          <w:trHeight w:val="2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Науковий підхід</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балів</w:t>
            </w:r>
          </w:p>
        </w:tc>
      </w:tr>
      <w:tr>
        <w:trPr>
          <w:cantSplit w:val="1"/>
          <w:trHeight w:val="2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Виготовлення копії за зразком обраним методом.</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балів</w:t>
            </w:r>
          </w:p>
        </w:tc>
      </w:tr>
      <w:tr>
        <w:trPr>
          <w:cantSplit w:val="1"/>
          <w:trHeight w:val="23"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Всього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 балів</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Політика курсу</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Дотримання академічної доброчесності:</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випадку виявлення факту порушення права інтелектуальної власності (плагіату) здобувач освіти отримує незадовільну оцінку з правом перескладання, яке дозволяється лише після виконання додаткового індивідуального завдання. </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Відвідування: </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Відвідування занять є обов’язковим компонентом оцінювання. За об’єктивних причин (наприклад, хвороба, академічна мобільність, міжнародне стажування)</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можливе перескладання модулів (тем) з дисципліни без зниження рейтингової оцінки.</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Дедлайни та перескладання: </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порушення дедлайнів здачі завдання оцінка знижується на 50%.</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Перескладання позитивної оцінки на вищий бал можливе лише протягом сесії за умови виконання додаткового завдання.</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Перескладання незадовільної оцінки з дисципліни здійснюється згідно графіку ліквідації заборгованості, затвердженого завідувачем кафедри. </w:t>
            </w:r>
          </w:p>
        </w:tc>
      </w:tr>
      <w:tr>
        <w:trPr>
          <w:cantSplit w:val="1"/>
          <w:trHeight w:val="1147" w:hRule="atLeast"/>
          <w:tblHeader w:val="0"/>
        </w:trPr>
        <w:tc>
          <w:tcPr>
            <w:vMerge w:val="continue"/>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Перезарахування результатів навчання:</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здійснюється згідно Положення про порядок визнання результатів навчання, отриманих у формальній, неформальній та інформальній освіті в НАОМА: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https://drive.google.com/file/d/1yC0oX7e3vUCMqFgxO0mJ_NsB10m28EA2/view</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Навчальні матеріали та ресурси</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Основна</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tab/>
              <w:t xml:space="preserve">Огар Е. І. Сучасна нон-фікшн для дітей: структурні та функціональні характеристики. Наукові записки [Української академії друкарства]. 2012. № 2. С. 41–47.</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Селсбері М., Стайлз М. Дитячі книжки-картинки: Мистецтво візуальної оповіді. Київ : ArtHuss, 2023. 208 c.</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tab/>
              <w:t xml:space="preserve">Токар М. Художньо-естетичні особливості дитячої книжкової ілюстрації. Вісник Львівської національної академії мистецтв. 2018. Вип. 35. С. 220–233.</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tab/>
              <w:t xml:space="preserve">Токар М. І. Образи героїв української дитячої літератури в книжковій ілюстрації другої половини ХХ – початку ХХІ століття : дис. канд. мистецтвознавства : 17.00.05. 2018. 17 с.</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tab/>
              <w:t xml:space="preserve">AL_Hinaai S. N. What is the Importance and Impact of Illustrations in Children's Books? An investigation into children's responses to illustrations. Arab Journal for Scientific Publishing (AJSP). 2010. No. 2663. P. 5798.</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tab/>
              <w:t xml:space="preserve">Bang M. Picture This: How Pictures Work. San Francisco : Chronicle Books, 2016. 96 p.</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tab/>
              <w:t xml:space="preserve">Feathers K. M., Arya P. The role of illustrations during children's reading. Journal of Children's Literature. 2012. Vol. 38, no. 1. P. 36.</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w:t>
              <w:tab/>
              <w:t xml:space="preserve">Gula E., Zhuravlova N., Mykhailytskyi O. Synthesis of development of book graphics and design in Ukraine. Kultura i suchasnist: almanakh. 2023. No. 1. P. 70–75.</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w:t>
              <w:tab/>
              <w:t xml:space="preserve">Male A. Illustration: A Theoretical and Contextual Perspective. London : Bloomsbury Academic, 2017. 248 p.</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Додатково</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Зільбер Д. Розмова про ілюстрацію в піжамі та з філіжанкою кави. Київ : ArtHuss, 2023. 256 с.</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tab/>
              <w:t xml:space="preserve">Ознайомлення з діяльністю ілюстраційного колективу Pictoric, що об’єднує сучасних українських і міжнародних ілюстраторів та здійснює виставкові, освітні й культурні проєкти у сфері візуальної комунікації.</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tab/>
              <w:t xml:space="preserve">Поліщук О. П., Стрільчук К. О. Ілюстрації персонажів книги та їх роль у друкованому виданні. Формула творчості: теорія і методика мистецької освіти : матеріали ІХ Всеукр. наук.-практ. конф. (Полтава, 10 квіт. 2025 р.). Полтава, 2025. С. 39–42..</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
                <w:tab w:val="left" w:leader="none" w:pos="4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Локація та матеріально-технічне забезпечення</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Комп'ютери з програмою для створення та обробки зображень за потреби, папір та інші матеріали для замальовування.</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Кафедра</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
              </w:tabs>
              <w:spacing w:after="0" w:before="0" w:line="23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Графіка вільна, оформлення та ілюстрація книги</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Факультет</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Образотворче мистецтво та реставрація</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Завідувач кафедри</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Оригінальність навчальної дисципліни</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28" w:hRule="atLeast"/>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Таблиця відповідності рейтингових балів</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7447.0" w:type="dxa"/>
              <w:jc w:val="left"/>
              <w:tblLayout w:type="fixed"/>
              <w:tblLook w:val="0000"/>
            </w:tblPr>
            <w:tblGrid>
              <w:gridCol w:w="1359"/>
              <w:gridCol w:w="2495"/>
              <w:gridCol w:w="3593"/>
              <w:tblGridChange w:id="0">
                <w:tblGrid>
                  <w:gridCol w:w="1359"/>
                  <w:gridCol w:w="2495"/>
                  <w:gridCol w:w="3593"/>
                </w:tblGrid>
              </w:tblGridChange>
            </w:tblGrid>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Бали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Зміст</w:t>
                  </w:r>
                  <w:r w:rsidDel="00000000" w:rsidR="00000000" w:rsidRPr="00000000">
                    <w:rPr>
                      <w:rtl w:val="0"/>
                    </w:rPr>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90–100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Відмінно</w:t>
                  </w:r>
                  <w:r w:rsidDel="00000000" w:rsidR="00000000" w:rsidRPr="00000000">
                    <w:rPr>
                      <w:rtl w:val="0"/>
                    </w:rPr>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82–89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Добре</w:t>
                  </w: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75–81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Добре</w:t>
                  </w:r>
                  <w:r w:rsidDel="00000000" w:rsidR="00000000" w:rsidRPr="00000000">
                    <w:rPr>
                      <w:rtl w:val="0"/>
                    </w:rPr>
                  </w:r>
                </w:p>
              </w:tc>
            </w:tr>
            <w:tr>
              <w:trPr>
                <w:cantSplit w:val="0"/>
                <w:trHeight w:val="131"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64–74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Задовільно</w:t>
                  </w: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60–63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Достатньо</w:t>
                  </w:r>
                  <w:r w:rsidDel="00000000" w:rsidR="00000000" w:rsidRPr="00000000">
                    <w:rPr>
                      <w:rtl w:val="0"/>
                    </w:rPr>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незадовільно з можливістю повторного складання</w:t>
                  </w:r>
                  <w:r w:rsidDel="00000000" w:rsidR="00000000" w:rsidRPr="00000000">
                    <w:rPr>
                      <w:rtl w:val="0"/>
                    </w:rPr>
                  </w:r>
                </w:p>
              </w:tc>
            </w:tr>
            <w:tr>
              <w:trPr>
                <w:cantSplit w:val="0"/>
                <w:trHeight w:val="429"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незадовільно з обов’язковим повторним курсом</w:t>
                  </w:r>
                  <w:r w:rsidDel="00000000" w:rsidR="00000000" w:rsidRPr="00000000">
                    <w:rPr>
                      <w:rtl w:val="0"/>
                    </w:rPr>
                  </w:r>
                </w:p>
              </w:tc>
            </w:tr>
          </w:tbl>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r>
    </w:tbl>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8ZVaFp5VJyhOtQ9pGBpA7fTcLA==">CgMxLjA4AHIhMWNjVlhSakdlTEpUb1c2eUhmX2lOb2Mzc1FlOUhfSHJU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