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7B7B0" w14:textId="77777777" w:rsidR="00135B88" w:rsidRPr="00C04D43" w:rsidRDefault="00F4635C" w:rsidP="00C04D43">
      <w:pPr>
        <w:spacing w:line="360" w:lineRule="auto"/>
        <w:jc w:val="center"/>
        <w:rPr>
          <w:lang w:val="uk-UA"/>
        </w:rPr>
      </w:pPr>
      <w:r>
        <w:rPr>
          <w:lang w:val="uk-UA"/>
        </w:rPr>
        <w:t>МІНІСТЕРСТВО КУЛЬТУРИ УКРАЇНИ</w:t>
      </w:r>
    </w:p>
    <w:p w14:paraId="6D6EA078" w14:textId="77777777" w:rsidR="00135B88" w:rsidRPr="00C04D43" w:rsidRDefault="00F4635C" w:rsidP="00C04D43">
      <w:pPr>
        <w:spacing w:line="360" w:lineRule="auto"/>
        <w:jc w:val="center"/>
        <w:rPr>
          <w:lang w:val="uk-UA"/>
        </w:rPr>
      </w:pPr>
      <w:r>
        <w:rPr>
          <w:lang w:val="uk-UA"/>
        </w:rPr>
        <w:t>НАЦІОНАЛЬНА АКАДЕМІЯ ОБРАЗОТВОРЧОГО МИСТЕЦТВА І АРХІТЕКТУРИ</w:t>
      </w:r>
    </w:p>
    <w:p w14:paraId="480F0B03" w14:textId="77777777" w:rsidR="00135B88" w:rsidRPr="00C04D43" w:rsidRDefault="00F4635C" w:rsidP="00C04D43">
      <w:pPr>
        <w:spacing w:line="360" w:lineRule="auto"/>
        <w:jc w:val="center"/>
        <w:rPr>
          <w:lang w:val="uk-UA"/>
        </w:rPr>
      </w:pPr>
      <w:r>
        <w:rPr>
          <w:lang w:val="uk-UA"/>
        </w:rPr>
        <w:t>Факультет теорії та історії мистецтва</w:t>
      </w:r>
    </w:p>
    <w:p w14:paraId="04264FD4" w14:textId="77777777" w:rsidR="00135B88" w:rsidRPr="00C04D43" w:rsidRDefault="00F4635C" w:rsidP="00C04D43">
      <w:pPr>
        <w:spacing w:line="360" w:lineRule="auto"/>
        <w:jc w:val="center"/>
        <w:rPr>
          <w:lang w:val="uk-UA"/>
        </w:rPr>
      </w:pPr>
      <w:r>
        <w:rPr>
          <w:lang w:val="uk-UA"/>
        </w:rPr>
        <w:t>Кафедра теорії та історії мистецтва</w:t>
      </w:r>
    </w:p>
    <w:p w14:paraId="4CD13468" w14:textId="77777777" w:rsidR="00135B88" w:rsidRPr="00C04D43" w:rsidRDefault="00F4635C" w:rsidP="00C04D43">
      <w:pPr>
        <w:spacing w:line="360" w:lineRule="auto"/>
        <w:jc w:val="center"/>
        <w:rPr>
          <w:lang w:val="uk-UA"/>
        </w:rPr>
      </w:pPr>
      <w:r>
        <w:rPr>
          <w:b/>
          <w:bCs/>
          <w:lang w:val="uk-UA"/>
        </w:rPr>
        <w:t>КВАЛІФІКАЦІЙНА БАКАЛАВРСЬКА РОБОТА</w:t>
      </w:r>
    </w:p>
    <w:p w14:paraId="10D4630F" w14:textId="77777777" w:rsidR="00135B88" w:rsidRPr="00C04D43" w:rsidRDefault="00F4635C" w:rsidP="00C04D43">
      <w:pPr>
        <w:spacing w:line="360" w:lineRule="auto"/>
        <w:jc w:val="center"/>
        <w:rPr>
          <w:lang w:val="uk-UA"/>
        </w:rPr>
      </w:pPr>
      <w:r>
        <w:rPr>
          <w:lang w:val="uk-UA"/>
        </w:rPr>
        <w:t xml:space="preserve">на тему: </w:t>
      </w:r>
      <w:r>
        <w:rPr>
          <w:b/>
          <w:bCs/>
          <w:lang w:val="uk-UA"/>
        </w:rPr>
        <w:t>Цифрові технології у виставковій діяльності музеїв: міжнародний досвід та українська практика</w:t>
      </w:r>
    </w:p>
    <w:p w14:paraId="3EE8F1CB" w14:textId="77777777" w:rsidR="00135B88" w:rsidRPr="00C04D43" w:rsidRDefault="00F4635C" w:rsidP="00C04D43">
      <w:pPr>
        <w:spacing w:line="360" w:lineRule="auto"/>
        <w:ind w:left="3888"/>
        <w:rPr>
          <w:lang w:val="uk-UA"/>
        </w:rPr>
      </w:pPr>
      <w:r>
        <w:rPr>
          <w:b/>
          <w:bCs/>
          <w:lang w:val="uk-UA"/>
        </w:rPr>
        <w:t>Виконала: здобувач IV курсу І освітнього</w:t>
      </w:r>
    </w:p>
    <w:p w14:paraId="0990CD32" w14:textId="77777777" w:rsidR="00135B88" w:rsidRPr="00C04D43" w:rsidRDefault="00F4635C" w:rsidP="00C04D43">
      <w:pPr>
        <w:spacing w:line="360" w:lineRule="auto"/>
        <w:ind w:left="3888"/>
        <w:rPr>
          <w:lang w:val="uk-UA"/>
        </w:rPr>
      </w:pPr>
      <w:r>
        <w:rPr>
          <w:lang w:val="uk-UA"/>
        </w:rPr>
        <w:t>рівня, групи мист/бак.-22, денної форми</w:t>
      </w:r>
    </w:p>
    <w:p w14:paraId="131C9F7B" w14:textId="77777777" w:rsidR="00135B88" w:rsidRPr="00C04D43" w:rsidRDefault="00F4635C" w:rsidP="00C04D43">
      <w:pPr>
        <w:spacing w:line="360" w:lineRule="auto"/>
        <w:ind w:left="3888"/>
        <w:rPr>
          <w:lang w:val="uk-UA"/>
        </w:rPr>
      </w:pPr>
      <w:r>
        <w:rPr>
          <w:lang w:val="uk-UA"/>
        </w:rPr>
        <w:t>навчання спеціальності 023 «Образотворче</w:t>
      </w:r>
    </w:p>
    <w:p w14:paraId="4C1EDA85" w14:textId="77777777" w:rsidR="00135B88" w:rsidRPr="00C04D43" w:rsidRDefault="00F4635C" w:rsidP="00C04D43">
      <w:pPr>
        <w:spacing w:line="360" w:lineRule="auto"/>
        <w:ind w:left="3888"/>
        <w:rPr>
          <w:lang w:val="uk-UA"/>
        </w:rPr>
      </w:pPr>
      <w:r>
        <w:rPr>
          <w:lang w:val="uk-UA"/>
        </w:rPr>
        <w:t>мистецтво, декоративне мистецтво,</w:t>
      </w:r>
    </w:p>
    <w:p w14:paraId="56B1F9EE" w14:textId="77777777" w:rsidR="00135B88" w:rsidRPr="00C04D43" w:rsidRDefault="00F4635C" w:rsidP="00C04D43">
      <w:pPr>
        <w:spacing w:line="360" w:lineRule="auto"/>
        <w:ind w:left="3888"/>
        <w:rPr>
          <w:lang w:val="uk-UA"/>
        </w:rPr>
      </w:pPr>
      <w:r>
        <w:rPr>
          <w:lang w:val="uk-UA"/>
        </w:rPr>
        <w:t>реставрація» освітньо-професійної програми</w:t>
      </w:r>
    </w:p>
    <w:p w14:paraId="04CE0298" w14:textId="77777777" w:rsidR="00135B88" w:rsidRPr="00C04D43" w:rsidRDefault="00F4635C" w:rsidP="00C04D43">
      <w:pPr>
        <w:spacing w:line="360" w:lineRule="auto"/>
        <w:ind w:left="3888"/>
        <w:rPr>
          <w:lang w:val="uk-UA"/>
        </w:rPr>
      </w:pPr>
      <w:r>
        <w:rPr>
          <w:lang w:val="uk-UA"/>
        </w:rPr>
        <w:t>«Мистецтвознавство. Теорія та історія мистецтва»</w:t>
      </w:r>
    </w:p>
    <w:p w14:paraId="6E46409B" w14:textId="77777777" w:rsidR="00135B88" w:rsidRPr="00C04D43" w:rsidRDefault="00F4635C" w:rsidP="00C04D43">
      <w:pPr>
        <w:spacing w:line="360" w:lineRule="auto"/>
        <w:ind w:left="3888"/>
        <w:rPr>
          <w:lang w:val="uk-UA"/>
        </w:rPr>
      </w:pPr>
      <w:r>
        <w:rPr>
          <w:lang w:val="uk-UA"/>
        </w:rPr>
        <w:t>ПАВЛОВА АННА АРТЕМІВНА</w:t>
      </w:r>
    </w:p>
    <w:p w14:paraId="18296DC7" w14:textId="77777777" w:rsidR="00135B88" w:rsidRPr="00C04D43" w:rsidRDefault="00135B88" w:rsidP="00C04D43">
      <w:pPr>
        <w:spacing w:line="360" w:lineRule="auto"/>
        <w:rPr>
          <w:lang w:val="uk-UA"/>
        </w:rPr>
      </w:pPr>
    </w:p>
    <w:p w14:paraId="29D60330" w14:textId="41A569AF" w:rsidR="00135B88" w:rsidRPr="00C04D43" w:rsidRDefault="00F4635C" w:rsidP="00194EBF">
      <w:pPr>
        <w:spacing w:line="360" w:lineRule="auto"/>
        <w:ind w:left="3888"/>
        <w:rPr>
          <w:lang w:val="uk-UA"/>
        </w:rPr>
      </w:pPr>
      <w:r>
        <w:rPr>
          <w:b/>
          <w:bCs/>
          <w:lang w:val="uk-UA"/>
        </w:rPr>
        <w:t>Науковий керівник: кандидат історичних наук,</w:t>
      </w:r>
      <w:r w:rsidR="00194EBF">
        <w:rPr>
          <w:lang w:val="uk-UA"/>
        </w:rPr>
        <w:t xml:space="preserve"> </w:t>
      </w:r>
      <w:r w:rsidRPr="00194EBF">
        <w:rPr>
          <w:b/>
          <w:bCs/>
          <w:lang w:val="uk-UA"/>
        </w:rPr>
        <w:t>доцент</w:t>
      </w:r>
      <w:r>
        <w:rPr>
          <w:lang w:val="uk-UA"/>
        </w:rPr>
        <w:t xml:space="preserve"> АНДРЕС ГАННА ОЛЕКСАНДРІВНА</w:t>
      </w:r>
    </w:p>
    <w:p w14:paraId="12451F95" w14:textId="77777777" w:rsidR="00135B88" w:rsidRPr="00C04D43" w:rsidRDefault="00135B88" w:rsidP="00C04D43">
      <w:pPr>
        <w:spacing w:line="360" w:lineRule="auto"/>
        <w:rPr>
          <w:lang w:val="uk-UA"/>
        </w:rPr>
      </w:pPr>
    </w:p>
    <w:p w14:paraId="00D95420" w14:textId="5863A154" w:rsidR="00135B88" w:rsidRDefault="00F4635C" w:rsidP="00C04D43">
      <w:pPr>
        <w:spacing w:line="360" w:lineRule="auto"/>
        <w:ind w:left="3888"/>
        <w:rPr>
          <w:b/>
          <w:bCs/>
          <w:lang w:val="uk-UA"/>
        </w:rPr>
      </w:pPr>
      <w:r>
        <w:rPr>
          <w:b/>
          <w:bCs/>
          <w:lang w:val="uk-UA"/>
        </w:rPr>
        <w:t xml:space="preserve">Рецензент: </w:t>
      </w:r>
      <w:r w:rsidR="00194EBF" w:rsidRPr="00194EBF">
        <w:rPr>
          <w:b/>
          <w:bCs/>
          <w:lang w:val="uk-UA"/>
        </w:rPr>
        <w:t>кандидат мистецтвознавства, ст. викладач</w:t>
      </w:r>
    </w:p>
    <w:p w14:paraId="01310A95" w14:textId="4691C812" w:rsidR="00194EBF" w:rsidRPr="00194EBF" w:rsidRDefault="00194EBF" w:rsidP="00C04D43">
      <w:pPr>
        <w:spacing w:line="360" w:lineRule="auto"/>
        <w:ind w:left="3888"/>
        <w:rPr>
          <w:lang w:val="uk-UA"/>
        </w:rPr>
      </w:pPr>
      <w:r>
        <w:rPr>
          <w:lang w:val="uk-UA"/>
        </w:rPr>
        <w:t>ГОМИРЄВА ОЛЕНА ІВАНІВНА</w:t>
      </w:r>
    </w:p>
    <w:p w14:paraId="2C7CFD8F" w14:textId="77777777" w:rsidR="002E53F7" w:rsidRPr="00C04D43" w:rsidRDefault="002E53F7" w:rsidP="00C04D43">
      <w:pPr>
        <w:spacing w:before="800" w:line="360" w:lineRule="auto"/>
        <w:jc w:val="center"/>
        <w:rPr>
          <w:b/>
          <w:bCs/>
          <w:lang w:val="uk-UA"/>
        </w:rPr>
      </w:pPr>
    </w:p>
    <w:p w14:paraId="521817B0" w14:textId="77777777" w:rsidR="00135B88" w:rsidRPr="00C04D43" w:rsidRDefault="00F4635C" w:rsidP="00C04D43">
      <w:pPr>
        <w:spacing w:before="800" w:line="360" w:lineRule="auto"/>
        <w:jc w:val="center"/>
        <w:rPr>
          <w:lang w:val="uk-UA"/>
        </w:rPr>
      </w:pPr>
      <w:r>
        <w:rPr>
          <w:b/>
          <w:bCs/>
          <w:lang w:val="uk-UA"/>
        </w:rPr>
        <w:t>Київ – 2026</w:t>
      </w:r>
    </w:p>
    <w:p w14:paraId="01519DE2" w14:textId="77777777" w:rsidR="00135B88" w:rsidRPr="00C04D43" w:rsidRDefault="00F4635C" w:rsidP="00C04D43">
      <w:pPr>
        <w:pStyle w:val="1"/>
        <w:pageBreakBefore/>
        <w:spacing w:after="0"/>
        <w:rPr>
          <w:lang w:val="uk-UA"/>
        </w:rPr>
      </w:pPr>
      <w:bookmarkStart w:id="0" w:name="_Toc231668452"/>
      <w:r>
        <w:rPr>
          <w:caps/>
          <w:lang w:val="uk-UA"/>
        </w:rPr>
        <w:lastRenderedPageBreak/>
        <w:t>Анотація</w:t>
      </w:r>
      <w:bookmarkEnd w:id="0"/>
    </w:p>
    <w:p w14:paraId="3322A84A" w14:textId="77777777" w:rsidR="009555D9" w:rsidRPr="00C04D43" w:rsidRDefault="00870BED" w:rsidP="00C04D43">
      <w:pPr>
        <w:spacing w:line="360" w:lineRule="auto"/>
        <w:ind w:firstLine="709"/>
        <w:jc w:val="both"/>
        <w:rPr>
          <w:lang w:val="uk-UA"/>
        </w:rPr>
      </w:pPr>
      <w:r>
        <w:rPr>
          <w:b/>
          <w:bCs/>
          <w:lang w:val="uk-UA"/>
        </w:rPr>
        <w:t>Павлова А. А. Цифрові технології у виставковій діяльності музеїв: міжнародний досвід та українська практика. – Рукопис.</w:t>
      </w:r>
    </w:p>
    <w:p w14:paraId="539EF9C5" w14:textId="77777777" w:rsidR="009555D9" w:rsidRPr="00C04D43" w:rsidRDefault="00870BED" w:rsidP="00C04D43">
      <w:pPr>
        <w:spacing w:line="360" w:lineRule="auto"/>
        <w:ind w:firstLine="709"/>
        <w:jc w:val="both"/>
        <w:rPr>
          <w:lang w:val="uk-UA"/>
        </w:rPr>
      </w:pPr>
      <w:r>
        <w:rPr>
          <w:b/>
          <w:bCs/>
          <w:lang w:val="uk-UA"/>
        </w:rPr>
        <w:t>Кваліфікаційна бакалаврська робота за ОПП «Мистецтвознавство. Теорія та історія мистецтва». Національна академія образотворчого мистецтва і архітектури, Київ, 2026.</w:t>
      </w:r>
    </w:p>
    <w:p w14:paraId="14E0EC93" w14:textId="77777777" w:rsidR="009555D9" w:rsidRPr="00C04D43" w:rsidRDefault="00870BED" w:rsidP="00C04D43">
      <w:pPr>
        <w:spacing w:line="360" w:lineRule="auto"/>
        <w:ind w:firstLine="709"/>
        <w:jc w:val="both"/>
        <w:rPr>
          <w:lang w:val="uk-UA"/>
        </w:rPr>
      </w:pPr>
      <w:r>
        <w:rPr>
          <w:lang w:val="uk-UA"/>
        </w:rPr>
        <w:t>У кваліфікаційній бакалаврській роботі досліджено роль цифрових технологій у виставковій діяльності музеїв на прикладі міжнародного та українського досвіду. Актуальність теми зумовлена активною цифровізацією музейної сфери, посиленою кризами останніх років – пандемією COVID-19 та повномасштабною війною Росії проти України, які в українському контексті розширили функції цифрового ресурсу: до його комунікаційної ролі, що залишається визначальною, додалися функції збереження спадщини та захисту прав на культурні цінності.</w:t>
      </w:r>
    </w:p>
    <w:p w14:paraId="13E071B6" w14:textId="77777777" w:rsidR="009555D9" w:rsidRPr="00C04D43" w:rsidRDefault="00870BED" w:rsidP="00C04D43">
      <w:pPr>
        <w:spacing w:line="360" w:lineRule="auto"/>
        <w:ind w:firstLine="709"/>
        <w:jc w:val="both"/>
        <w:rPr>
          <w:lang w:val="uk-UA"/>
        </w:rPr>
      </w:pPr>
      <w:r>
        <w:rPr>
          <w:lang w:val="uk-UA"/>
        </w:rPr>
        <w:t>Метою роботи є аналіз теоретичних моделей і практичного міжнародного та українського досвіду використання цифрових технологій у виставковій діяльності музеїв, а також виявлення технологічних, економічних і етичних ризиків їх упровадження. Об’єктом дослідження є виставкова діяльність музеїв, предметом – цифрові технології в музейних експозиціях.</w:t>
      </w:r>
    </w:p>
    <w:p w14:paraId="24771056" w14:textId="77777777" w:rsidR="009555D9" w:rsidRPr="00C04D43" w:rsidRDefault="00870BED" w:rsidP="00C04D43">
      <w:pPr>
        <w:spacing w:line="360" w:lineRule="auto"/>
        <w:ind w:firstLine="709"/>
        <w:jc w:val="both"/>
        <w:rPr>
          <w:lang w:val="uk-UA"/>
        </w:rPr>
      </w:pPr>
      <w:r>
        <w:rPr>
          <w:lang w:val="uk-UA"/>
        </w:rPr>
        <w:t>Застосовано системний і порівняльний аналіз, метод кейс-стаді, дискурс-аналіз та модель музейного користувацького досвіду (MEUX), що дозволяє оцінити прагматичний і гедоністичний виміри взаємодії відвідувача з експозицією. Проаналізовано теоретичні підходи до музейної комунікації; розглянуто міжнародні кейси Лувру, Rijksmuseum, Tate і teamLab Planets; досліджено український досвід Музею Ханенків, НХМУ, платформи єМузей та ініціатив SUCHO, HeMo і Skeiron; систематизовано ризики цифровізації.</w:t>
      </w:r>
    </w:p>
    <w:p w14:paraId="06BA7615" w14:textId="77777777" w:rsidR="009555D9" w:rsidRPr="00C04D43" w:rsidRDefault="00870BED" w:rsidP="00C04D43">
      <w:pPr>
        <w:spacing w:line="360" w:lineRule="auto"/>
        <w:ind w:firstLine="709"/>
        <w:jc w:val="both"/>
        <w:rPr>
          <w:lang w:val="uk-UA"/>
        </w:rPr>
      </w:pPr>
      <w:r>
        <w:rPr>
          <w:lang w:val="uk-UA"/>
        </w:rPr>
        <w:t xml:space="preserve">Доведено, що ефективність цифрових технологій у виставковій діяльності визначається насамперед мірою їхньої відповідності конкретній репрезентаційній меті, а не технологічною складністю чи новизною рішення. Обґрунтовано розширення функцій цифрових виставкових практик в умовах </w:t>
      </w:r>
      <w:r>
        <w:rPr>
          <w:lang w:val="uk-UA"/>
        </w:rPr>
        <w:lastRenderedPageBreak/>
        <w:t>кризи: комунікаційна функція доповнюється завданнями збереження спадщини, документування експозиційного матеріалу та забезпечення інституційного виживання. Показано, що якість цифрової документації музейних колекцій визначає межі майбутньої виставкової та реституційної роботи.</w:t>
      </w:r>
    </w:p>
    <w:p w14:paraId="3A50B801" w14:textId="77777777" w:rsidR="009555D9" w:rsidRPr="00C04D43" w:rsidRDefault="00870BED" w:rsidP="00C04D43">
      <w:pPr>
        <w:spacing w:line="360" w:lineRule="auto"/>
        <w:ind w:firstLine="709"/>
        <w:jc w:val="both"/>
        <w:rPr>
          <w:lang w:val="uk-UA"/>
        </w:rPr>
      </w:pPr>
      <w:r>
        <w:rPr>
          <w:lang w:val="uk-UA"/>
        </w:rPr>
        <w:t>Наукова новизна полягає в комплексному мистецтвознавчому аналізі українських практик «кризової цифровізації» у співвідношенні з міжнародними тенденціями. Практичне значення результатів – можливість їх використання в музейній, кураторській та освітній діяльності.</w:t>
      </w:r>
    </w:p>
    <w:p w14:paraId="45AFD6EE" w14:textId="77777777" w:rsidR="009555D9" w:rsidRPr="00C04D43" w:rsidRDefault="00870BED" w:rsidP="00C04D43">
      <w:pPr>
        <w:spacing w:line="360" w:lineRule="auto"/>
        <w:ind w:firstLine="709"/>
        <w:jc w:val="both"/>
        <w:rPr>
          <w:lang w:val="uk-UA"/>
        </w:rPr>
      </w:pPr>
      <w:r>
        <w:rPr>
          <w:b/>
          <w:bCs/>
          <w:lang w:val="uk-UA"/>
        </w:rPr>
        <w:t xml:space="preserve">Ключові слова: </w:t>
      </w:r>
      <w:r>
        <w:rPr>
          <w:i/>
          <w:iCs/>
          <w:lang w:val="uk-UA"/>
        </w:rPr>
        <w:t>цифрові технології, музей, виставкова діяльність, цифровізація, імерсивні проєкти, MEUX, цифрова медіація, культурна спадщина.</w:t>
      </w:r>
    </w:p>
    <w:p w14:paraId="05D536C4" w14:textId="77777777" w:rsidR="00135B88" w:rsidRPr="00C04D43" w:rsidRDefault="00F4635C" w:rsidP="00C04D43">
      <w:pPr>
        <w:pStyle w:val="1"/>
        <w:spacing w:after="0"/>
        <w:rPr>
          <w:lang w:val="en-US"/>
        </w:rPr>
      </w:pPr>
      <w:bookmarkStart w:id="1" w:name="_Toc231668453"/>
      <w:r>
        <w:rPr>
          <w:caps/>
          <w:lang w:val="en-US"/>
        </w:rPr>
        <w:t>Abstract</w:t>
      </w:r>
      <w:bookmarkEnd w:id="1"/>
    </w:p>
    <w:p w14:paraId="5FA2A98F" w14:textId="77777777" w:rsidR="009555D9" w:rsidRPr="00C04D43" w:rsidRDefault="00870BED" w:rsidP="00C04D43">
      <w:pPr>
        <w:spacing w:line="360" w:lineRule="auto"/>
        <w:ind w:firstLine="709"/>
        <w:jc w:val="both"/>
        <w:rPr>
          <w:lang w:val="en-US"/>
        </w:rPr>
      </w:pPr>
      <w:r>
        <w:rPr>
          <w:b/>
          <w:bCs/>
          <w:lang w:val="en-US"/>
        </w:rPr>
        <w:t>Pavlova A. Digital Technologies in the Exhibition Activity of Museums: International Experience and Ukrainian Practice. – Manuscript.</w:t>
      </w:r>
    </w:p>
    <w:p w14:paraId="7E4FC12A" w14:textId="77777777" w:rsidR="009555D9" w:rsidRPr="00C04D43" w:rsidRDefault="00870BED" w:rsidP="00C04D43">
      <w:pPr>
        <w:spacing w:line="360" w:lineRule="auto"/>
        <w:ind w:firstLine="709"/>
        <w:jc w:val="both"/>
        <w:rPr>
          <w:lang w:val="en-US"/>
        </w:rPr>
      </w:pPr>
      <w:r>
        <w:rPr>
          <w:b/>
          <w:bCs/>
          <w:lang w:val="en-US"/>
        </w:rPr>
        <w:t>Final qualifying work for the bachelor’s degree, EPP «Art Criticism. Theory and History of Art». National Academy of Fine Arts and Architecture, Kyiv, 2026.</w:t>
      </w:r>
    </w:p>
    <w:p w14:paraId="54B26FE1" w14:textId="77777777" w:rsidR="009555D9" w:rsidRPr="00C04D43" w:rsidRDefault="00870BED" w:rsidP="00C04D43">
      <w:pPr>
        <w:spacing w:line="360" w:lineRule="auto"/>
        <w:ind w:firstLine="709"/>
        <w:jc w:val="both"/>
        <w:rPr>
          <w:lang w:val="en-US"/>
        </w:rPr>
      </w:pPr>
      <w:r>
        <w:rPr>
          <w:lang w:val="en-US"/>
        </w:rPr>
        <w:t>The thesis examines the role of digital technologies in the exhibition activity of museums based on international and Ukrainian experience. The relevance of the topic stems from the rapid digitalization of the museum sector, intensified by the recent crises – the COVID-19 pandemic and Russia’s full-scale war against Ukraine. In the Ukrainian context these crises broadened the functions of the digital resource: alongside its communicative role, which remains central, it acquired the functions of heritage preservation and the protection of rights to cultural property.</w:t>
      </w:r>
    </w:p>
    <w:p w14:paraId="5C7ADBE2" w14:textId="77777777" w:rsidR="009555D9" w:rsidRPr="00C04D43" w:rsidRDefault="00870BED" w:rsidP="00C04D43">
      <w:pPr>
        <w:spacing w:line="360" w:lineRule="auto"/>
        <w:ind w:firstLine="709"/>
        <w:jc w:val="both"/>
        <w:rPr>
          <w:lang w:val="en-US"/>
        </w:rPr>
      </w:pPr>
      <w:r>
        <w:rPr>
          <w:lang w:val="en-US"/>
        </w:rPr>
        <w:t>The aim of the research is to analyze theoretical models and the practical international and Ukrainian experience of using digital technologies in museum exhibition activity, and to identify the technological, economic and ethical risks of their implementation. The object of the study is museum exhibition activity, while the subject is digital technologies in museum displays.</w:t>
      </w:r>
    </w:p>
    <w:p w14:paraId="70526270" w14:textId="77777777" w:rsidR="009555D9" w:rsidRPr="00C04D43" w:rsidRDefault="00870BED" w:rsidP="00C04D43">
      <w:pPr>
        <w:spacing w:line="360" w:lineRule="auto"/>
        <w:ind w:firstLine="709"/>
        <w:jc w:val="both"/>
        <w:rPr>
          <w:lang w:val="en-US"/>
        </w:rPr>
      </w:pPr>
      <w:r>
        <w:rPr>
          <w:lang w:val="en-US"/>
        </w:rPr>
        <w:lastRenderedPageBreak/>
        <w:t>The methodology includes systemic and comparative analysis, the case-study method, discourse analysis and the Museum Exhibition User Experience (MEUX) model. The study examines the international cases of the Louvre, the Rijksmuseum, Tate and teamLab Planets and investigates the Ukrainian experience of the Khanenko Museum, the NAMU, the eMuseum platform, and the SUCHO, HeMo</w:t>
      </w:r>
      <w:r>
        <w:rPr>
          <w:lang w:val="uk-UA"/>
        </w:rPr>
        <w:t>,</w:t>
      </w:r>
      <w:r>
        <w:rPr>
          <w:lang w:val="en-US"/>
        </w:rPr>
        <w:t xml:space="preserve"> and Skeiron initiatives.</w:t>
      </w:r>
    </w:p>
    <w:p w14:paraId="23974DC3" w14:textId="77777777" w:rsidR="009555D9" w:rsidRPr="00C04D43" w:rsidRDefault="00870BED" w:rsidP="00C04D43">
      <w:pPr>
        <w:spacing w:line="360" w:lineRule="auto"/>
        <w:ind w:firstLine="709"/>
        <w:jc w:val="both"/>
        <w:rPr>
          <w:lang w:val="en-US"/>
        </w:rPr>
      </w:pPr>
      <w:r>
        <w:rPr>
          <w:lang w:val="en-US"/>
        </w:rPr>
        <w:t>It is argued that the effectiveness of digital technologies in exhibition activity is determined primarily by the degree of their correspondence to a specific representational goal, rather than by the technological complexity or novelty of the solution. The broadening of the functions of digital exhibition practices under crisis conditions is substantiated: the communicative function is complemented by the tasks of heritage preservation, documentation of exhibition material and the securing of institutional survival. It is shown that the quality of digital documentation of museum collections determines the limits of future exhibition and restitution work.</w:t>
      </w:r>
    </w:p>
    <w:p w14:paraId="7E8EFB0B" w14:textId="77777777" w:rsidR="009555D9" w:rsidRPr="00C04D43" w:rsidRDefault="00870BED" w:rsidP="00C04D43">
      <w:pPr>
        <w:spacing w:line="360" w:lineRule="auto"/>
        <w:ind w:firstLine="709"/>
        <w:jc w:val="both"/>
        <w:rPr>
          <w:lang w:val="en-US"/>
        </w:rPr>
      </w:pPr>
      <w:r>
        <w:rPr>
          <w:lang w:val="en-US"/>
        </w:rPr>
        <w:t>The scientific novelty consists in a comprehensive art-historical analysis of Ukrainian practices of crisis-driven digitalization in comparison with international trends. The practical significance lies in the applicability of the results in museum, curatorial, and educational activity.</w:t>
      </w:r>
    </w:p>
    <w:p w14:paraId="4E41C098" w14:textId="77777777" w:rsidR="009555D9" w:rsidRPr="00C04D43" w:rsidRDefault="00870BED" w:rsidP="00C04D43">
      <w:pPr>
        <w:spacing w:line="360" w:lineRule="auto"/>
        <w:ind w:firstLine="709"/>
        <w:jc w:val="both"/>
        <w:rPr>
          <w:lang w:val="en-US"/>
        </w:rPr>
      </w:pPr>
      <w:r>
        <w:rPr>
          <w:b/>
          <w:bCs/>
          <w:lang w:val="en-US"/>
        </w:rPr>
        <w:t xml:space="preserve">Key words: </w:t>
      </w:r>
      <w:r>
        <w:rPr>
          <w:i/>
          <w:iCs/>
          <w:lang w:val="en-US"/>
        </w:rPr>
        <w:t>digital technologies, museum, exhibition activity, digitalization, immersive projects, MEUX, digital mediation, cultural heritage.</w:t>
      </w:r>
    </w:p>
    <w:p w14:paraId="4B865AC3" w14:textId="77777777" w:rsidR="009555D9" w:rsidRPr="00C04D43" w:rsidRDefault="00870BED" w:rsidP="00C04D43">
      <w:pPr>
        <w:spacing w:line="360" w:lineRule="auto"/>
        <w:rPr>
          <w:lang w:val="en-US"/>
        </w:rPr>
      </w:pPr>
      <w:r>
        <w:rPr>
          <w:lang w:val="en-US"/>
        </w:rPr>
        <w:br w:type="page"/>
      </w:r>
    </w:p>
    <w:p w14:paraId="7C54D8FB" w14:textId="77777777" w:rsidR="00135B88" w:rsidRPr="00C04D43" w:rsidRDefault="00F4635C" w:rsidP="00C04D43">
      <w:pPr>
        <w:pStyle w:val="1"/>
        <w:pageBreakBefore/>
        <w:spacing w:after="0"/>
        <w:rPr>
          <w:lang w:val="uk-UA"/>
        </w:rPr>
      </w:pPr>
      <w:bookmarkStart w:id="2" w:name="_Toc231668454"/>
      <w:r>
        <w:rPr>
          <w:caps/>
          <w:lang w:val="uk-UA"/>
        </w:rPr>
        <w:lastRenderedPageBreak/>
        <w:t>Зміст</w:t>
      </w:r>
      <w:bookmarkEnd w:id="2"/>
    </w:p>
    <w:sdt>
      <w:sdtPr>
        <w:rPr>
          <w:lang w:val="uk-UA"/>
        </w:rPr>
        <w:alias w:val="Зміст"/>
        <w:id w:val="1526219070"/>
      </w:sdtPr>
      <w:sdtEndPr/>
      <w:sdtContent>
        <w:p w14:paraId="5E1515D5" w14:textId="77777777" w:rsidR="007B2C28" w:rsidRPr="00C04D43" w:rsidRDefault="00F4635C" w:rsidP="00C04D43">
          <w:pPr>
            <w:pStyle w:val="11"/>
            <w:tabs>
              <w:tab w:val="right" w:leader="dot" w:pos="9344"/>
            </w:tabs>
            <w:spacing w:after="0" w:line="360" w:lineRule="auto"/>
            <w:rPr>
              <w:noProof/>
              <w:lang w:val="uk-UA"/>
            </w:rPr>
          </w:pPr>
          <w:r>
            <w:rPr>
              <w:lang w:val="uk-UA"/>
            </w:rPr>
            <w:fldChar w:fldCharType="begin"/>
          </w:r>
          <w:r>
            <w:rPr>
              <w:lang w:val="uk-UA"/>
            </w:rPr>
            <w:instrText>TOC \h \o "1-2"</w:instrText>
          </w:r>
          <w:r>
            <w:rPr>
              <w:lang w:val="uk-UA"/>
            </w:rPr>
            <w:fldChar w:fldCharType="separate"/>
          </w:r>
          <w:hyperlink w:anchor="_Toc231668452" w:history="1">
            <w:r>
              <w:rPr>
                <w:rStyle w:val="a5"/>
                <w:caps/>
                <w:noProof/>
                <w:lang w:val="uk-UA"/>
              </w:rPr>
              <w:t>Анотація</w:t>
            </w:r>
            <w:r>
              <w:rPr>
                <w:noProof/>
                <w:lang w:val="uk-UA"/>
              </w:rPr>
              <w:tab/>
            </w:r>
            <w:r>
              <w:rPr>
                <w:noProof/>
                <w:lang w:val="uk-UA"/>
              </w:rPr>
              <w:fldChar w:fldCharType="begin"/>
            </w:r>
            <w:r>
              <w:rPr>
                <w:noProof/>
                <w:lang w:val="uk-UA"/>
              </w:rPr>
              <w:instrText xml:space="preserve"> PAGEREF _Toc231668452 \h </w:instrText>
            </w:r>
            <w:r>
              <w:rPr>
                <w:noProof/>
                <w:lang w:val="uk-UA"/>
              </w:rPr>
            </w:r>
            <w:r>
              <w:rPr>
                <w:noProof/>
                <w:lang w:val="uk-UA"/>
              </w:rPr>
              <w:fldChar w:fldCharType="separate"/>
            </w:r>
            <w:r>
              <w:rPr>
                <w:noProof/>
                <w:lang w:val="uk-UA"/>
              </w:rPr>
              <w:t>3</w:t>
            </w:r>
            <w:r>
              <w:rPr>
                <w:noProof/>
                <w:lang w:val="uk-UA"/>
              </w:rPr>
              <w:fldChar w:fldCharType="end"/>
            </w:r>
          </w:hyperlink>
        </w:p>
        <w:p w14:paraId="69F387EF" w14:textId="77777777" w:rsidR="007B2C28" w:rsidRPr="00C04D43" w:rsidRDefault="00267808" w:rsidP="00C04D43">
          <w:pPr>
            <w:pStyle w:val="11"/>
            <w:tabs>
              <w:tab w:val="right" w:leader="dot" w:pos="9344"/>
            </w:tabs>
            <w:spacing w:after="0" w:line="360" w:lineRule="auto"/>
            <w:rPr>
              <w:noProof/>
              <w:lang w:val="uk-UA"/>
            </w:rPr>
          </w:pPr>
          <w:hyperlink w:anchor="_Toc231668454" w:history="1">
            <w:r w:rsidR="005912ED">
              <w:rPr>
                <w:rStyle w:val="a5"/>
                <w:caps/>
                <w:noProof/>
                <w:lang w:val="uk-UA"/>
              </w:rPr>
              <w:t>Зміст</w:t>
            </w:r>
            <w:r w:rsidR="005912ED">
              <w:rPr>
                <w:noProof/>
                <w:lang w:val="uk-UA"/>
              </w:rPr>
              <w:tab/>
            </w:r>
            <w:r w:rsidR="005912ED">
              <w:rPr>
                <w:noProof/>
                <w:lang w:val="uk-UA"/>
              </w:rPr>
              <w:fldChar w:fldCharType="begin"/>
            </w:r>
            <w:r w:rsidR="005912ED">
              <w:rPr>
                <w:noProof/>
                <w:lang w:val="uk-UA"/>
              </w:rPr>
              <w:instrText xml:space="preserve"> PAGEREF _Toc231668454 \h </w:instrText>
            </w:r>
            <w:r w:rsidR="005912ED">
              <w:rPr>
                <w:noProof/>
                <w:lang w:val="uk-UA"/>
              </w:rPr>
            </w:r>
            <w:r w:rsidR="005912ED">
              <w:rPr>
                <w:noProof/>
                <w:lang w:val="uk-UA"/>
              </w:rPr>
              <w:fldChar w:fldCharType="separate"/>
            </w:r>
            <w:r w:rsidR="005912ED">
              <w:rPr>
                <w:noProof/>
                <w:lang w:val="uk-UA"/>
              </w:rPr>
              <w:t>6</w:t>
            </w:r>
            <w:r w:rsidR="005912ED">
              <w:rPr>
                <w:noProof/>
                <w:lang w:val="uk-UA"/>
              </w:rPr>
              <w:fldChar w:fldCharType="end"/>
            </w:r>
          </w:hyperlink>
        </w:p>
        <w:p w14:paraId="3EB2C9D2" w14:textId="77777777" w:rsidR="007B2C28" w:rsidRPr="00C04D43" w:rsidRDefault="00267808" w:rsidP="00C04D43">
          <w:pPr>
            <w:pStyle w:val="11"/>
            <w:tabs>
              <w:tab w:val="right" w:leader="dot" w:pos="9344"/>
            </w:tabs>
            <w:spacing w:after="0" w:line="360" w:lineRule="auto"/>
            <w:rPr>
              <w:noProof/>
              <w:lang w:val="uk-UA"/>
            </w:rPr>
          </w:pPr>
          <w:hyperlink w:anchor="_Toc231668455" w:history="1">
            <w:r w:rsidR="005912ED">
              <w:rPr>
                <w:rStyle w:val="a5"/>
                <w:caps/>
                <w:noProof/>
                <w:lang w:val="uk-UA"/>
              </w:rPr>
              <w:t>Перелік умовних скорочень</w:t>
            </w:r>
            <w:r w:rsidR="005912ED">
              <w:rPr>
                <w:noProof/>
                <w:lang w:val="uk-UA"/>
              </w:rPr>
              <w:tab/>
            </w:r>
            <w:r w:rsidR="005912ED">
              <w:rPr>
                <w:noProof/>
                <w:lang w:val="uk-UA"/>
              </w:rPr>
              <w:fldChar w:fldCharType="begin"/>
            </w:r>
            <w:r w:rsidR="005912ED">
              <w:rPr>
                <w:noProof/>
                <w:lang w:val="uk-UA"/>
              </w:rPr>
              <w:instrText xml:space="preserve"> PAGEREF _Toc231668455 \h </w:instrText>
            </w:r>
            <w:r w:rsidR="005912ED">
              <w:rPr>
                <w:noProof/>
                <w:lang w:val="uk-UA"/>
              </w:rPr>
            </w:r>
            <w:r w:rsidR="005912ED">
              <w:rPr>
                <w:noProof/>
                <w:lang w:val="uk-UA"/>
              </w:rPr>
              <w:fldChar w:fldCharType="separate"/>
            </w:r>
            <w:r w:rsidR="005912ED">
              <w:rPr>
                <w:noProof/>
                <w:lang w:val="uk-UA"/>
              </w:rPr>
              <w:t>7</w:t>
            </w:r>
            <w:r w:rsidR="005912ED">
              <w:rPr>
                <w:noProof/>
                <w:lang w:val="uk-UA"/>
              </w:rPr>
              <w:fldChar w:fldCharType="end"/>
            </w:r>
          </w:hyperlink>
        </w:p>
        <w:p w14:paraId="6BF549A3" w14:textId="77777777" w:rsidR="007B2C28" w:rsidRPr="00C04D43" w:rsidRDefault="00267808" w:rsidP="00C04D43">
          <w:pPr>
            <w:pStyle w:val="11"/>
            <w:tabs>
              <w:tab w:val="right" w:leader="dot" w:pos="9344"/>
            </w:tabs>
            <w:spacing w:after="0" w:line="360" w:lineRule="auto"/>
            <w:rPr>
              <w:noProof/>
              <w:lang w:val="uk-UA"/>
            </w:rPr>
          </w:pPr>
          <w:hyperlink w:anchor="_Toc231668456" w:history="1">
            <w:r w:rsidR="005912ED">
              <w:rPr>
                <w:rStyle w:val="a5"/>
                <w:caps/>
                <w:noProof/>
                <w:lang w:val="uk-UA"/>
              </w:rPr>
              <w:t>Вступ</w:t>
            </w:r>
            <w:r w:rsidR="005912ED">
              <w:rPr>
                <w:noProof/>
                <w:lang w:val="uk-UA"/>
              </w:rPr>
              <w:tab/>
            </w:r>
            <w:r w:rsidR="005912ED">
              <w:rPr>
                <w:noProof/>
                <w:lang w:val="uk-UA"/>
              </w:rPr>
              <w:fldChar w:fldCharType="begin"/>
            </w:r>
            <w:r w:rsidR="005912ED">
              <w:rPr>
                <w:noProof/>
                <w:lang w:val="uk-UA"/>
              </w:rPr>
              <w:instrText xml:space="preserve"> PAGEREF _Toc231668456 \h </w:instrText>
            </w:r>
            <w:r w:rsidR="005912ED">
              <w:rPr>
                <w:noProof/>
                <w:lang w:val="uk-UA"/>
              </w:rPr>
            </w:r>
            <w:r w:rsidR="005912ED">
              <w:rPr>
                <w:noProof/>
                <w:lang w:val="uk-UA"/>
              </w:rPr>
              <w:fldChar w:fldCharType="separate"/>
            </w:r>
            <w:r w:rsidR="005912ED">
              <w:rPr>
                <w:noProof/>
                <w:lang w:val="uk-UA"/>
              </w:rPr>
              <w:t>8</w:t>
            </w:r>
            <w:r w:rsidR="005912ED">
              <w:rPr>
                <w:noProof/>
                <w:lang w:val="uk-UA"/>
              </w:rPr>
              <w:fldChar w:fldCharType="end"/>
            </w:r>
          </w:hyperlink>
        </w:p>
        <w:p w14:paraId="3C16F5F0" w14:textId="77777777" w:rsidR="007B2C28" w:rsidRPr="00C04D43" w:rsidRDefault="00267808" w:rsidP="00C04D43">
          <w:pPr>
            <w:pStyle w:val="11"/>
            <w:tabs>
              <w:tab w:val="right" w:leader="dot" w:pos="9344"/>
            </w:tabs>
            <w:spacing w:after="0" w:line="360" w:lineRule="auto"/>
            <w:rPr>
              <w:noProof/>
              <w:lang w:val="uk-UA"/>
            </w:rPr>
          </w:pPr>
          <w:hyperlink w:anchor="_Toc231668457" w:history="1">
            <w:r w:rsidR="005912ED">
              <w:rPr>
                <w:rStyle w:val="a5"/>
                <w:caps/>
                <w:noProof/>
                <w:lang w:val="uk-UA"/>
              </w:rPr>
              <w:t>Розділ 1. Історіографія та джерельна база дослідження</w:t>
            </w:r>
            <w:r w:rsidR="005912ED">
              <w:rPr>
                <w:noProof/>
                <w:lang w:val="uk-UA"/>
              </w:rPr>
              <w:tab/>
            </w:r>
            <w:r w:rsidR="005912ED">
              <w:rPr>
                <w:noProof/>
                <w:lang w:val="uk-UA"/>
              </w:rPr>
              <w:fldChar w:fldCharType="begin"/>
            </w:r>
            <w:r w:rsidR="005912ED">
              <w:rPr>
                <w:noProof/>
                <w:lang w:val="uk-UA"/>
              </w:rPr>
              <w:instrText xml:space="preserve"> PAGEREF _Toc231668457 \h </w:instrText>
            </w:r>
            <w:r w:rsidR="005912ED">
              <w:rPr>
                <w:noProof/>
                <w:lang w:val="uk-UA"/>
              </w:rPr>
            </w:r>
            <w:r w:rsidR="005912ED">
              <w:rPr>
                <w:noProof/>
                <w:lang w:val="uk-UA"/>
              </w:rPr>
              <w:fldChar w:fldCharType="separate"/>
            </w:r>
            <w:r w:rsidR="005912ED">
              <w:rPr>
                <w:noProof/>
                <w:lang w:val="uk-UA"/>
              </w:rPr>
              <w:t>11</w:t>
            </w:r>
            <w:r w:rsidR="005912ED">
              <w:rPr>
                <w:noProof/>
                <w:lang w:val="uk-UA"/>
              </w:rPr>
              <w:fldChar w:fldCharType="end"/>
            </w:r>
          </w:hyperlink>
        </w:p>
        <w:p w14:paraId="57E5DE9D" w14:textId="77777777" w:rsidR="007B2C28" w:rsidRPr="00C04D43" w:rsidRDefault="00267808" w:rsidP="00C04D43">
          <w:pPr>
            <w:pStyle w:val="20"/>
            <w:tabs>
              <w:tab w:val="right" w:leader="dot" w:pos="9344"/>
            </w:tabs>
            <w:spacing w:after="0" w:line="360" w:lineRule="auto"/>
            <w:rPr>
              <w:noProof/>
              <w:lang w:val="uk-UA"/>
            </w:rPr>
          </w:pPr>
          <w:hyperlink w:anchor="_Toc231668458" w:history="1">
            <w:r w:rsidR="005912ED">
              <w:rPr>
                <w:rStyle w:val="a5"/>
                <w:noProof/>
                <w:lang w:val="uk-UA"/>
              </w:rPr>
              <w:t>1.1. Історіографія</w:t>
            </w:r>
            <w:r w:rsidR="005912ED">
              <w:rPr>
                <w:noProof/>
                <w:lang w:val="uk-UA"/>
              </w:rPr>
              <w:tab/>
            </w:r>
            <w:r w:rsidR="005912ED">
              <w:rPr>
                <w:noProof/>
                <w:lang w:val="uk-UA"/>
              </w:rPr>
              <w:fldChar w:fldCharType="begin"/>
            </w:r>
            <w:r w:rsidR="005912ED">
              <w:rPr>
                <w:noProof/>
                <w:lang w:val="uk-UA"/>
              </w:rPr>
              <w:instrText xml:space="preserve"> PAGEREF _Toc231668458 \h </w:instrText>
            </w:r>
            <w:r w:rsidR="005912ED">
              <w:rPr>
                <w:noProof/>
                <w:lang w:val="uk-UA"/>
              </w:rPr>
            </w:r>
            <w:r w:rsidR="005912ED">
              <w:rPr>
                <w:noProof/>
                <w:lang w:val="uk-UA"/>
              </w:rPr>
              <w:fldChar w:fldCharType="separate"/>
            </w:r>
            <w:r w:rsidR="005912ED">
              <w:rPr>
                <w:noProof/>
                <w:lang w:val="uk-UA"/>
              </w:rPr>
              <w:t>11</w:t>
            </w:r>
            <w:r w:rsidR="005912ED">
              <w:rPr>
                <w:noProof/>
                <w:lang w:val="uk-UA"/>
              </w:rPr>
              <w:fldChar w:fldCharType="end"/>
            </w:r>
          </w:hyperlink>
        </w:p>
        <w:p w14:paraId="289A127D" w14:textId="77777777" w:rsidR="007B2C28" w:rsidRPr="00C04D43" w:rsidRDefault="00267808" w:rsidP="00C04D43">
          <w:pPr>
            <w:pStyle w:val="20"/>
            <w:tabs>
              <w:tab w:val="right" w:leader="dot" w:pos="9344"/>
            </w:tabs>
            <w:spacing w:after="0" w:line="360" w:lineRule="auto"/>
            <w:rPr>
              <w:noProof/>
              <w:lang w:val="uk-UA"/>
            </w:rPr>
          </w:pPr>
          <w:hyperlink w:anchor="_Toc231668459" w:history="1">
            <w:r w:rsidR="005912ED">
              <w:rPr>
                <w:rStyle w:val="a5"/>
                <w:noProof/>
                <w:lang w:val="uk-UA"/>
              </w:rPr>
              <w:t>1.2. Джерельна база дослідження</w:t>
            </w:r>
            <w:r w:rsidR="005912ED">
              <w:rPr>
                <w:noProof/>
                <w:lang w:val="uk-UA"/>
              </w:rPr>
              <w:tab/>
            </w:r>
            <w:r w:rsidR="005912ED">
              <w:rPr>
                <w:noProof/>
                <w:lang w:val="uk-UA"/>
              </w:rPr>
              <w:fldChar w:fldCharType="begin"/>
            </w:r>
            <w:r w:rsidR="005912ED">
              <w:rPr>
                <w:noProof/>
                <w:lang w:val="uk-UA"/>
              </w:rPr>
              <w:instrText xml:space="preserve"> PAGEREF _Toc231668459 \h </w:instrText>
            </w:r>
            <w:r w:rsidR="005912ED">
              <w:rPr>
                <w:noProof/>
                <w:lang w:val="uk-UA"/>
              </w:rPr>
            </w:r>
            <w:r w:rsidR="005912ED">
              <w:rPr>
                <w:noProof/>
                <w:lang w:val="uk-UA"/>
              </w:rPr>
              <w:fldChar w:fldCharType="separate"/>
            </w:r>
            <w:r w:rsidR="005912ED">
              <w:rPr>
                <w:noProof/>
                <w:lang w:val="uk-UA"/>
              </w:rPr>
              <w:t>15</w:t>
            </w:r>
            <w:r w:rsidR="005912ED">
              <w:rPr>
                <w:noProof/>
                <w:lang w:val="uk-UA"/>
              </w:rPr>
              <w:fldChar w:fldCharType="end"/>
            </w:r>
          </w:hyperlink>
        </w:p>
        <w:p w14:paraId="39C41D01" w14:textId="77777777" w:rsidR="007B2C28" w:rsidRPr="00C04D43" w:rsidRDefault="00267808" w:rsidP="00C04D43">
          <w:pPr>
            <w:pStyle w:val="20"/>
            <w:tabs>
              <w:tab w:val="right" w:leader="dot" w:pos="9344"/>
            </w:tabs>
            <w:spacing w:after="0" w:line="360" w:lineRule="auto"/>
            <w:rPr>
              <w:noProof/>
              <w:lang w:val="uk-UA"/>
            </w:rPr>
          </w:pPr>
          <w:hyperlink w:anchor="_Toc231668460" w:history="1">
            <w:r w:rsidR="005912ED">
              <w:rPr>
                <w:rStyle w:val="a5"/>
                <w:noProof/>
                <w:lang w:val="uk-UA"/>
              </w:rPr>
              <w:t>1.3. Теоретико-методологічна рамка дослідження</w:t>
            </w:r>
            <w:r w:rsidR="005912ED">
              <w:rPr>
                <w:noProof/>
                <w:lang w:val="uk-UA"/>
              </w:rPr>
              <w:tab/>
            </w:r>
            <w:r w:rsidR="005912ED">
              <w:rPr>
                <w:noProof/>
                <w:lang w:val="uk-UA"/>
              </w:rPr>
              <w:fldChar w:fldCharType="begin"/>
            </w:r>
            <w:r w:rsidR="005912ED">
              <w:rPr>
                <w:noProof/>
                <w:lang w:val="uk-UA"/>
              </w:rPr>
              <w:instrText xml:space="preserve"> PAGEREF _Toc231668460 \h </w:instrText>
            </w:r>
            <w:r w:rsidR="005912ED">
              <w:rPr>
                <w:noProof/>
                <w:lang w:val="uk-UA"/>
              </w:rPr>
            </w:r>
            <w:r w:rsidR="005912ED">
              <w:rPr>
                <w:noProof/>
                <w:lang w:val="uk-UA"/>
              </w:rPr>
              <w:fldChar w:fldCharType="separate"/>
            </w:r>
            <w:r w:rsidR="005912ED">
              <w:rPr>
                <w:noProof/>
                <w:lang w:val="uk-UA"/>
              </w:rPr>
              <w:t>19</w:t>
            </w:r>
            <w:r w:rsidR="005912ED">
              <w:rPr>
                <w:noProof/>
                <w:lang w:val="uk-UA"/>
              </w:rPr>
              <w:fldChar w:fldCharType="end"/>
            </w:r>
          </w:hyperlink>
        </w:p>
        <w:p w14:paraId="33996FCD" w14:textId="77777777" w:rsidR="007B2C28" w:rsidRPr="00C04D43" w:rsidRDefault="00267808" w:rsidP="00C04D43">
          <w:pPr>
            <w:pStyle w:val="20"/>
            <w:tabs>
              <w:tab w:val="right" w:leader="dot" w:pos="9344"/>
            </w:tabs>
            <w:spacing w:after="0" w:line="360" w:lineRule="auto"/>
            <w:rPr>
              <w:noProof/>
              <w:lang w:val="uk-UA"/>
            </w:rPr>
          </w:pPr>
          <w:hyperlink w:anchor="_Toc231668461" w:history="1">
            <w:r w:rsidR="005912ED">
              <w:rPr>
                <w:rStyle w:val="a5"/>
                <w:i/>
                <w:iCs/>
                <w:noProof/>
                <w:lang w:val="uk-UA"/>
              </w:rPr>
              <w:t>Висновки до розділу 1</w:t>
            </w:r>
            <w:r w:rsidR="005912ED">
              <w:rPr>
                <w:noProof/>
                <w:lang w:val="uk-UA"/>
              </w:rPr>
              <w:tab/>
            </w:r>
            <w:r w:rsidR="005912ED">
              <w:rPr>
                <w:noProof/>
                <w:lang w:val="uk-UA"/>
              </w:rPr>
              <w:fldChar w:fldCharType="begin"/>
            </w:r>
            <w:r w:rsidR="005912ED">
              <w:rPr>
                <w:noProof/>
                <w:lang w:val="uk-UA"/>
              </w:rPr>
              <w:instrText xml:space="preserve"> PAGEREF _Toc231668461 \h </w:instrText>
            </w:r>
            <w:r w:rsidR="005912ED">
              <w:rPr>
                <w:noProof/>
                <w:lang w:val="uk-UA"/>
              </w:rPr>
            </w:r>
            <w:r w:rsidR="005912ED">
              <w:rPr>
                <w:noProof/>
                <w:lang w:val="uk-UA"/>
              </w:rPr>
              <w:fldChar w:fldCharType="separate"/>
            </w:r>
            <w:r w:rsidR="005912ED">
              <w:rPr>
                <w:noProof/>
                <w:lang w:val="uk-UA"/>
              </w:rPr>
              <w:t>21</w:t>
            </w:r>
            <w:r w:rsidR="005912ED">
              <w:rPr>
                <w:noProof/>
                <w:lang w:val="uk-UA"/>
              </w:rPr>
              <w:fldChar w:fldCharType="end"/>
            </w:r>
          </w:hyperlink>
        </w:p>
        <w:p w14:paraId="2062ED68" w14:textId="77777777" w:rsidR="007B2C28" w:rsidRPr="00C04D43" w:rsidRDefault="00267808" w:rsidP="00C04D43">
          <w:pPr>
            <w:pStyle w:val="11"/>
            <w:tabs>
              <w:tab w:val="right" w:leader="dot" w:pos="9344"/>
            </w:tabs>
            <w:spacing w:after="0" w:line="360" w:lineRule="auto"/>
            <w:rPr>
              <w:noProof/>
              <w:lang w:val="uk-UA"/>
            </w:rPr>
          </w:pPr>
          <w:hyperlink w:anchor="_Toc231668462" w:history="1">
            <w:r w:rsidR="005912ED">
              <w:rPr>
                <w:rStyle w:val="a5"/>
                <w:caps/>
                <w:noProof/>
                <w:lang w:val="uk-UA"/>
              </w:rPr>
              <w:t>Розділ 2. Цифрові технології у виставковій діяльності музеїв: міжнародний досвід</w:t>
            </w:r>
            <w:r w:rsidR="005912ED">
              <w:rPr>
                <w:noProof/>
                <w:lang w:val="uk-UA"/>
              </w:rPr>
              <w:tab/>
            </w:r>
            <w:r w:rsidR="005912ED">
              <w:rPr>
                <w:noProof/>
                <w:lang w:val="uk-UA"/>
              </w:rPr>
              <w:fldChar w:fldCharType="begin"/>
            </w:r>
            <w:r w:rsidR="005912ED">
              <w:rPr>
                <w:noProof/>
                <w:lang w:val="uk-UA"/>
              </w:rPr>
              <w:instrText xml:space="preserve"> PAGEREF _Toc231668462 \h </w:instrText>
            </w:r>
            <w:r w:rsidR="005912ED">
              <w:rPr>
                <w:noProof/>
                <w:lang w:val="uk-UA"/>
              </w:rPr>
            </w:r>
            <w:r w:rsidR="005912ED">
              <w:rPr>
                <w:noProof/>
                <w:lang w:val="uk-UA"/>
              </w:rPr>
              <w:fldChar w:fldCharType="separate"/>
            </w:r>
            <w:r w:rsidR="005912ED">
              <w:rPr>
                <w:noProof/>
                <w:lang w:val="uk-UA"/>
              </w:rPr>
              <w:t>24</w:t>
            </w:r>
            <w:r w:rsidR="005912ED">
              <w:rPr>
                <w:noProof/>
                <w:lang w:val="uk-UA"/>
              </w:rPr>
              <w:fldChar w:fldCharType="end"/>
            </w:r>
          </w:hyperlink>
        </w:p>
        <w:p w14:paraId="0E3A71C5" w14:textId="77777777" w:rsidR="007B2C28" w:rsidRPr="00C04D43" w:rsidRDefault="00267808" w:rsidP="00C04D43">
          <w:pPr>
            <w:pStyle w:val="20"/>
            <w:tabs>
              <w:tab w:val="right" w:leader="dot" w:pos="9344"/>
            </w:tabs>
            <w:spacing w:after="0" w:line="360" w:lineRule="auto"/>
            <w:rPr>
              <w:noProof/>
              <w:lang w:val="uk-UA"/>
            </w:rPr>
          </w:pPr>
          <w:hyperlink w:anchor="_Toc231668463" w:history="1">
            <w:r w:rsidR="005912ED">
              <w:rPr>
                <w:rStyle w:val="a5"/>
                <w:noProof/>
                <w:lang w:val="uk-UA"/>
              </w:rPr>
              <w:t>2.1. Імерсивні виставкові формати як спосіб розширення музейного досвіду</w:t>
            </w:r>
            <w:r w:rsidR="005912ED">
              <w:rPr>
                <w:noProof/>
                <w:lang w:val="uk-UA"/>
              </w:rPr>
              <w:tab/>
            </w:r>
            <w:r w:rsidR="005912ED">
              <w:rPr>
                <w:noProof/>
                <w:lang w:val="uk-UA"/>
              </w:rPr>
              <w:fldChar w:fldCharType="begin"/>
            </w:r>
            <w:r w:rsidR="005912ED">
              <w:rPr>
                <w:noProof/>
                <w:lang w:val="uk-UA"/>
              </w:rPr>
              <w:instrText xml:space="preserve"> PAGEREF _Toc231668463 \h </w:instrText>
            </w:r>
            <w:r w:rsidR="005912ED">
              <w:rPr>
                <w:noProof/>
                <w:lang w:val="uk-UA"/>
              </w:rPr>
            </w:r>
            <w:r w:rsidR="005912ED">
              <w:rPr>
                <w:noProof/>
                <w:lang w:val="uk-UA"/>
              </w:rPr>
              <w:fldChar w:fldCharType="separate"/>
            </w:r>
            <w:r w:rsidR="005912ED">
              <w:rPr>
                <w:noProof/>
                <w:lang w:val="uk-UA"/>
              </w:rPr>
              <w:t>24</w:t>
            </w:r>
            <w:r w:rsidR="005912ED">
              <w:rPr>
                <w:noProof/>
                <w:lang w:val="uk-UA"/>
              </w:rPr>
              <w:fldChar w:fldCharType="end"/>
            </w:r>
          </w:hyperlink>
        </w:p>
        <w:p w14:paraId="732B54E0" w14:textId="77777777" w:rsidR="007B2C28" w:rsidRPr="00C04D43" w:rsidRDefault="00267808" w:rsidP="00C04D43">
          <w:pPr>
            <w:pStyle w:val="20"/>
            <w:tabs>
              <w:tab w:val="right" w:leader="dot" w:pos="9344"/>
            </w:tabs>
            <w:spacing w:after="0" w:line="360" w:lineRule="auto"/>
            <w:rPr>
              <w:noProof/>
              <w:lang w:val="uk-UA"/>
            </w:rPr>
          </w:pPr>
          <w:hyperlink w:anchor="_Toc231668464" w:history="1">
            <w:r w:rsidR="005912ED">
              <w:rPr>
                <w:rStyle w:val="a5"/>
                <w:noProof/>
                <w:lang w:val="uk-UA"/>
              </w:rPr>
              <w:t>2.2. Цифрова медіація музейної колекції та нові способи репрезентації експозиції</w:t>
            </w:r>
            <w:r w:rsidR="005912ED">
              <w:rPr>
                <w:noProof/>
                <w:lang w:val="uk-UA"/>
              </w:rPr>
              <w:tab/>
            </w:r>
            <w:r w:rsidR="005912ED">
              <w:rPr>
                <w:noProof/>
                <w:lang w:val="uk-UA"/>
              </w:rPr>
              <w:fldChar w:fldCharType="begin"/>
            </w:r>
            <w:r w:rsidR="005912ED">
              <w:rPr>
                <w:noProof/>
                <w:lang w:val="uk-UA"/>
              </w:rPr>
              <w:instrText xml:space="preserve"> PAGEREF _Toc231668464 \h </w:instrText>
            </w:r>
            <w:r w:rsidR="005912ED">
              <w:rPr>
                <w:noProof/>
                <w:lang w:val="uk-UA"/>
              </w:rPr>
            </w:r>
            <w:r w:rsidR="005912ED">
              <w:rPr>
                <w:noProof/>
                <w:lang w:val="uk-UA"/>
              </w:rPr>
              <w:fldChar w:fldCharType="separate"/>
            </w:r>
            <w:r w:rsidR="005912ED">
              <w:rPr>
                <w:noProof/>
                <w:lang w:val="uk-UA"/>
              </w:rPr>
              <w:t>30</w:t>
            </w:r>
            <w:r w:rsidR="005912ED">
              <w:rPr>
                <w:noProof/>
                <w:lang w:val="uk-UA"/>
              </w:rPr>
              <w:fldChar w:fldCharType="end"/>
            </w:r>
          </w:hyperlink>
        </w:p>
        <w:p w14:paraId="60640C0F" w14:textId="77777777" w:rsidR="007B2C28" w:rsidRPr="00C04D43" w:rsidRDefault="00267808" w:rsidP="00C04D43">
          <w:pPr>
            <w:pStyle w:val="20"/>
            <w:tabs>
              <w:tab w:val="right" w:leader="dot" w:pos="9344"/>
            </w:tabs>
            <w:spacing w:after="0" w:line="360" w:lineRule="auto"/>
            <w:rPr>
              <w:noProof/>
              <w:lang w:val="uk-UA"/>
            </w:rPr>
          </w:pPr>
          <w:hyperlink w:anchor="_Toc231668465" w:history="1">
            <w:r w:rsidR="005912ED">
              <w:rPr>
                <w:rStyle w:val="a5"/>
                <w:noProof/>
                <w:lang w:val="uk-UA"/>
              </w:rPr>
              <w:t>2.3. Проблеми та межі цифровізації музейного досвіду</w:t>
            </w:r>
            <w:r w:rsidR="005912ED">
              <w:rPr>
                <w:noProof/>
                <w:lang w:val="uk-UA"/>
              </w:rPr>
              <w:tab/>
            </w:r>
            <w:r w:rsidR="005912ED">
              <w:rPr>
                <w:noProof/>
                <w:lang w:val="uk-UA"/>
              </w:rPr>
              <w:fldChar w:fldCharType="begin"/>
            </w:r>
            <w:r w:rsidR="005912ED">
              <w:rPr>
                <w:noProof/>
                <w:lang w:val="uk-UA"/>
              </w:rPr>
              <w:instrText xml:space="preserve"> PAGEREF _Toc231668465 \h </w:instrText>
            </w:r>
            <w:r w:rsidR="005912ED">
              <w:rPr>
                <w:noProof/>
                <w:lang w:val="uk-UA"/>
              </w:rPr>
            </w:r>
            <w:r w:rsidR="005912ED">
              <w:rPr>
                <w:noProof/>
                <w:lang w:val="uk-UA"/>
              </w:rPr>
              <w:fldChar w:fldCharType="separate"/>
            </w:r>
            <w:r w:rsidR="005912ED">
              <w:rPr>
                <w:noProof/>
                <w:lang w:val="uk-UA"/>
              </w:rPr>
              <w:t>39</w:t>
            </w:r>
            <w:r w:rsidR="005912ED">
              <w:rPr>
                <w:noProof/>
                <w:lang w:val="uk-UA"/>
              </w:rPr>
              <w:fldChar w:fldCharType="end"/>
            </w:r>
          </w:hyperlink>
        </w:p>
        <w:p w14:paraId="792F90DC" w14:textId="77777777" w:rsidR="007B2C28" w:rsidRPr="00C04D43" w:rsidRDefault="00267808" w:rsidP="00C04D43">
          <w:pPr>
            <w:pStyle w:val="20"/>
            <w:tabs>
              <w:tab w:val="right" w:leader="dot" w:pos="9344"/>
            </w:tabs>
            <w:spacing w:after="0" w:line="360" w:lineRule="auto"/>
            <w:rPr>
              <w:noProof/>
              <w:lang w:val="uk-UA"/>
            </w:rPr>
          </w:pPr>
          <w:hyperlink w:anchor="_Toc231668466" w:history="1">
            <w:r w:rsidR="005912ED">
              <w:rPr>
                <w:rStyle w:val="a5"/>
                <w:i/>
                <w:iCs/>
                <w:noProof/>
                <w:lang w:val="uk-UA"/>
              </w:rPr>
              <w:t>Висновки до розділу 2</w:t>
            </w:r>
            <w:r w:rsidR="005912ED">
              <w:rPr>
                <w:noProof/>
                <w:lang w:val="uk-UA"/>
              </w:rPr>
              <w:tab/>
            </w:r>
            <w:r w:rsidR="005912ED">
              <w:rPr>
                <w:noProof/>
                <w:lang w:val="uk-UA"/>
              </w:rPr>
              <w:fldChar w:fldCharType="begin"/>
            </w:r>
            <w:r w:rsidR="005912ED">
              <w:rPr>
                <w:noProof/>
                <w:lang w:val="uk-UA"/>
              </w:rPr>
              <w:instrText xml:space="preserve"> PAGEREF _Toc231668466 \h </w:instrText>
            </w:r>
            <w:r w:rsidR="005912ED">
              <w:rPr>
                <w:noProof/>
                <w:lang w:val="uk-UA"/>
              </w:rPr>
            </w:r>
            <w:r w:rsidR="005912ED">
              <w:rPr>
                <w:noProof/>
                <w:lang w:val="uk-UA"/>
              </w:rPr>
              <w:fldChar w:fldCharType="separate"/>
            </w:r>
            <w:r w:rsidR="005912ED">
              <w:rPr>
                <w:noProof/>
                <w:lang w:val="uk-UA"/>
              </w:rPr>
              <w:t>43</w:t>
            </w:r>
            <w:r w:rsidR="005912ED">
              <w:rPr>
                <w:noProof/>
                <w:lang w:val="uk-UA"/>
              </w:rPr>
              <w:fldChar w:fldCharType="end"/>
            </w:r>
          </w:hyperlink>
        </w:p>
        <w:p w14:paraId="30D539F7" w14:textId="77777777" w:rsidR="007B2C28" w:rsidRPr="00C04D43" w:rsidRDefault="00267808" w:rsidP="00C04D43">
          <w:pPr>
            <w:pStyle w:val="11"/>
            <w:tabs>
              <w:tab w:val="right" w:leader="dot" w:pos="9344"/>
            </w:tabs>
            <w:spacing w:after="0" w:line="360" w:lineRule="auto"/>
            <w:rPr>
              <w:noProof/>
              <w:lang w:val="uk-UA"/>
            </w:rPr>
          </w:pPr>
          <w:hyperlink w:anchor="_Toc231668467" w:history="1">
            <w:r w:rsidR="005912ED">
              <w:rPr>
                <w:rStyle w:val="a5"/>
                <w:caps/>
                <w:noProof/>
                <w:lang w:val="uk-UA"/>
              </w:rPr>
              <w:t>Розділ 3. Український досвід упровадження цифрових технологій та збереження спадщини</w:t>
            </w:r>
            <w:r w:rsidR="005912ED">
              <w:rPr>
                <w:noProof/>
                <w:lang w:val="uk-UA"/>
              </w:rPr>
              <w:tab/>
            </w:r>
            <w:r w:rsidR="005912ED">
              <w:rPr>
                <w:noProof/>
                <w:lang w:val="uk-UA"/>
              </w:rPr>
              <w:fldChar w:fldCharType="begin"/>
            </w:r>
            <w:r w:rsidR="005912ED">
              <w:rPr>
                <w:noProof/>
                <w:lang w:val="uk-UA"/>
              </w:rPr>
              <w:instrText xml:space="preserve"> PAGEREF _Toc231668467 \h </w:instrText>
            </w:r>
            <w:r w:rsidR="005912ED">
              <w:rPr>
                <w:noProof/>
                <w:lang w:val="uk-UA"/>
              </w:rPr>
            </w:r>
            <w:r w:rsidR="005912ED">
              <w:rPr>
                <w:noProof/>
                <w:lang w:val="uk-UA"/>
              </w:rPr>
              <w:fldChar w:fldCharType="separate"/>
            </w:r>
            <w:r w:rsidR="005912ED">
              <w:rPr>
                <w:noProof/>
                <w:lang w:val="uk-UA"/>
              </w:rPr>
              <w:t>46</w:t>
            </w:r>
            <w:r w:rsidR="005912ED">
              <w:rPr>
                <w:noProof/>
                <w:lang w:val="uk-UA"/>
              </w:rPr>
              <w:fldChar w:fldCharType="end"/>
            </w:r>
          </w:hyperlink>
        </w:p>
        <w:p w14:paraId="7F1D7DE3" w14:textId="77777777" w:rsidR="007B2C28" w:rsidRPr="00C04D43" w:rsidRDefault="00267808" w:rsidP="00C04D43">
          <w:pPr>
            <w:pStyle w:val="20"/>
            <w:tabs>
              <w:tab w:val="right" w:leader="dot" w:pos="9344"/>
            </w:tabs>
            <w:spacing w:after="0" w:line="360" w:lineRule="auto"/>
            <w:rPr>
              <w:noProof/>
              <w:lang w:val="uk-UA"/>
            </w:rPr>
          </w:pPr>
          <w:hyperlink w:anchor="_Toc231668468" w:history="1">
            <w:r w:rsidR="005912ED">
              <w:rPr>
                <w:rStyle w:val="a5"/>
                <w:noProof/>
                <w:lang w:val="uk-UA"/>
              </w:rPr>
              <w:t>3.1. Цифровізація музейних колекцій та віртуалізація виставкових просторів в Україні</w:t>
            </w:r>
            <w:r w:rsidR="005912ED">
              <w:rPr>
                <w:noProof/>
                <w:lang w:val="uk-UA"/>
              </w:rPr>
              <w:tab/>
            </w:r>
            <w:r w:rsidR="005912ED">
              <w:rPr>
                <w:noProof/>
                <w:lang w:val="uk-UA"/>
              </w:rPr>
              <w:fldChar w:fldCharType="begin"/>
            </w:r>
            <w:r w:rsidR="005912ED">
              <w:rPr>
                <w:noProof/>
                <w:lang w:val="uk-UA"/>
              </w:rPr>
              <w:instrText xml:space="preserve"> PAGEREF _Toc231668468 \h </w:instrText>
            </w:r>
            <w:r w:rsidR="005912ED">
              <w:rPr>
                <w:noProof/>
                <w:lang w:val="uk-UA"/>
              </w:rPr>
            </w:r>
            <w:r w:rsidR="005912ED">
              <w:rPr>
                <w:noProof/>
                <w:lang w:val="uk-UA"/>
              </w:rPr>
              <w:fldChar w:fldCharType="separate"/>
            </w:r>
            <w:r w:rsidR="005912ED">
              <w:rPr>
                <w:noProof/>
                <w:lang w:val="uk-UA"/>
              </w:rPr>
              <w:t>46</w:t>
            </w:r>
            <w:r w:rsidR="005912ED">
              <w:rPr>
                <w:noProof/>
                <w:lang w:val="uk-UA"/>
              </w:rPr>
              <w:fldChar w:fldCharType="end"/>
            </w:r>
          </w:hyperlink>
        </w:p>
        <w:p w14:paraId="29736068" w14:textId="77777777" w:rsidR="007B2C28" w:rsidRPr="00C04D43" w:rsidRDefault="00267808" w:rsidP="00C04D43">
          <w:pPr>
            <w:pStyle w:val="20"/>
            <w:tabs>
              <w:tab w:val="right" w:leader="dot" w:pos="9344"/>
            </w:tabs>
            <w:spacing w:after="0" w:line="360" w:lineRule="auto"/>
            <w:rPr>
              <w:noProof/>
              <w:lang w:val="uk-UA"/>
            </w:rPr>
          </w:pPr>
          <w:hyperlink w:anchor="_Toc231668469" w:history="1">
            <w:r w:rsidR="005912ED">
              <w:rPr>
                <w:rStyle w:val="a5"/>
                <w:noProof/>
                <w:lang w:val="uk-UA"/>
              </w:rPr>
              <w:t>3.2. Цифрова документація як умова майбутньої виставкової роботи</w:t>
            </w:r>
            <w:r w:rsidR="005912ED">
              <w:rPr>
                <w:noProof/>
                <w:lang w:val="uk-UA"/>
              </w:rPr>
              <w:tab/>
            </w:r>
            <w:r w:rsidR="005912ED">
              <w:rPr>
                <w:noProof/>
                <w:lang w:val="uk-UA"/>
              </w:rPr>
              <w:fldChar w:fldCharType="begin"/>
            </w:r>
            <w:r w:rsidR="005912ED">
              <w:rPr>
                <w:noProof/>
                <w:lang w:val="uk-UA"/>
              </w:rPr>
              <w:instrText xml:space="preserve"> PAGEREF _Toc231668469 \h </w:instrText>
            </w:r>
            <w:r w:rsidR="005912ED">
              <w:rPr>
                <w:noProof/>
                <w:lang w:val="uk-UA"/>
              </w:rPr>
            </w:r>
            <w:r w:rsidR="005912ED">
              <w:rPr>
                <w:noProof/>
                <w:lang w:val="uk-UA"/>
              </w:rPr>
              <w:fldChar w:fldCharType="separate"/>
            </w:r>
            <w:r w:rsidR="005912ED">
              <w:rPr>
                <w:noProof/>
                <w:lang w:val="uk-UA"/>
              </w:rPr>
              <w:t>54</w:t>
            </w:r>
            <w:r w:rsidR="005912ED">
              <w:rPr>
                <w:noProof/>
                <w:lang w:val="uk-UA"/>
              </w:rPr>
              <w:fldChar w:fldCharType="end"/>
            </w:r>
          </w:hyperlink>
        </w:p>
        <w:p w14:paraId="4A4641D5" w14:textId="77777777" w:rsidR="007B2C28" w:rsidRPr="00C04D43" w:rsidRDefault="00267808" w:rsidP="00C04D43">
          <w:pPr>
            <w:pStyle w:val="20"/>
            <w:tabs>
              <w:tab w:val="right" w:leader="dot" w:pos="9344"/>
            </w:tabs>
            <w:spacing w:after="0" w:line="360" w:lineRule="auto"/>
            <w:rPr>
              <w:noProof/>
              <w:lang w:val="uk-UA"/>
            </w:rPr>
          </w:pPr>
          <w:hyperlink w:anchor="_Toc231668470" w:history="1">
            <w:r w:rsidR="005912ED">
              <w:rPr>
                <w:rStyle w:val="a5"/>
                <w:noProof/>
                <w:lang w:val="uk-UA"/>
              </w:rPr>
              <w:t>3.3. Структурні виклики та перспективи розвитку цифрових музейних практик в Україні</w:t>
            </w:r>
            <w:r w:rsidR="005912ED">
              <w:rPr>
                <w:noProof/>
                <w:lang w:val="uk-UA"/>
              </w:rPr>
              <w:tab/>
            </w:r>
            <w:r w:rsidR="005912ED">
              <w:rPr>
                <w:noProof/>
                <w:lang w:val="uk-UA"/>
              </w:rPr>
              <w:fldChar w:fldCharType="begin"/>
            </w:r>
            <w:r w:rsidR="005912ED">
              <w:rPr>
                <w:noProof/>
                <w:lang w:val="uk-UA"/>
              </w:rPr>
              <w:instrText xml:space="preserve"> PAGEREF _Toc231668470 \h </w:instrText>
            </w:r>
            <w:r w:rsidR="005912ED">
              <w:rPr>
                <w:noProof/>
                <w:lang w:val="uk-UA"/>
              </w:rPr>
            </w:r>
            <w:r w:rsidR="005912ED">
              <w:rPr>
                <w:noProof/>
                <w:lang w:val="uk-UA"/>
              </w:rPr>
              <w:fldChar w:fldCharType="separate"/>
            </w:r>
            <w:r w:rsidR="005912ED">
              <w:rPr>
                <w:noProof/>
                <w:lang w:val="uk-UA"/>
              </w:rPr>
              <w:t>59</w:t>
            </w:r>
            <w:r w:rsidR="005912ED">
              <w:rPr>
                <w:noProof/>
                <w:lang w:val="uk-UA"/>
              </w:rPr>
              <w:fldChar w:fldCharType="end"/>
            </w:r>
          </w:hyperlink>
        </w:p>
        <w:p w14:paraId="0458703C" w14:textId="77777777" w:rsidR="007B2C28" w:rsidRPr="00C04D43" w:rsidRDefault="00267808" w:rsidP="00C04D43">
          <w:pPr>
            <w:pStyle w:val="20"/>
            <w:tabs>
              <w:tab w:val="right" w:leader="dot" w:pos="9344"/>
            </w:tabs>
            <w:spacing w:after="0" w:line="360" w:lineRule="auto"/>
            <w:rPr>
              <w:noProof/>
              <w:lang w:val="uk-UA"/>
            </w:rPr>
          </w:pPr>
          <w:hyperlink w:anchor="_Toc231668471" w:history="1">
            <w:r w:rsidR="005912ED">
              <w:rPr>
                <w:rStyle w:val="a5"/>
                <w:i/>
                <w:iCs/>
                <w:noProof/>
                <w:lang w:val="uk-UA"/>
              </w:rPr>
              <w:t>Висновки до розділу 3</w:t>
            </w:r>
            <w:r w:rsidR="005912ED">
              <w:rPr>
                <w:noProof/>
                <w:lang w:val="uk-UA"/>
              </w:rPr>
              <w:tab/>
            </w:r>
            <w:r w:rsidR="005912ED">
              <w:rPr>
                <w:noProof/>
                <w:lang w:val="uk-UA"/>
              </w:rPr>
              <w:fldChar w:fldCharType="begin"/>
            </w:r>
            <w:r w:rsidR="005912ED">
              <w:rPr>
                <w:noProof/>
                <w:lang w:val="uk-UA"/>
              </w:rPr>
              <w:instrText xml:space="preserve"> PAGEREF _Toc231668471 \h </w:instrText>
            </w:r>
            <w:r w:rsidR="005912ED">
              <w:rPr>
                <w:noProof/>
                <w:lang w:val="uk-UA"/>
              </w:rPr>
            </w:r>
            <w:r w:rsidR="005912ED">
              <w:rPr>
                <w:noProof/>
                <w:lang w:val="uk-UA"/>
              </w:rPr>
              <w:fldChar w:fldCharType="separate"/>
            </w:r>
            <w:r w:rsidR="005912ED">
              <w:rPr>
                <w:noProof/>
                <w:lang w:val="uk-UA"/>
              </w:rPr>
              <w:t>63</w:t>
            </w:r>
            <w:r w:rsidR="005912ED">
              <w:rPr>
                <w:noProof/>
                <w:lang w:val="uk-UA"/>
              </w:rPr>
              <w:fldChar w:fldCharType="end"/>
            </w:r>
          </w:hyperlink>
        </w:p>
        <w:p w14:paraId="4FD657D5" w14:textId="77777777" w:rsidR="007B2C28" w:rsidRPr="00C04D43" w:rsidRDefault="00267808" w:rsidP="00C04D43">
          <w:pPr>
            <w:pStyle w:val="11"/>
            <w:tabs>
              <w:tab w:val="right" w:leader="dot" w:pos="9344"/>
            </w:tabs>
            <w:spacing w:after="0" w:line="360" w:lineRule="auto"/>
            <w:rPr>
              <w:noProof/>
              <w:lang w:val="uk-UA"/>
            </w:rPr>
          </w:pPr>
          <w:hyperlink w:anchor="_Toc231668472" w:history="1">
            <w:r w:rsidR="005912ED">
              <w:rPr>
                <w:rStyle w:val="a5"/>
                <w:caps/>
                <w:noProof/>
                <w:lang w:val="uk-UA"/>
              </w:rPr>
              <w:t>Висновки</w:t>
            </w:r>
            <w:r w:rsidR="005912ED">
              <w:rPr>
                <w:noProof/>
                <w:lang w:val="uk-UA"/>
              </w:rPr>
              <w:tab/>
            </w:r>
            <w:r w:rsidR="005912ED">
              <w:rPr>
                <w:noProof/>
                <w:lang w:val="uk-UA"/>
              </w:rPr>
              <w:fldChar w:fldCharType="begin"/>
            </w:r>
            <w:r w:rsidR="005912ED">
              <w:rPr>
                <w:noProof/>
                <w:lang w:val="uk-UA"/>
              </w:rPr>
              <w:instrText xml:space="preserve"> PAGEREF _Toc231668472 \h </w:instrText>
            </w:r>
            <w:r w:rsidR="005912ED">
              <w:rPr>
                <w:noProof/>
                <w:lang w:val="uk-UA"/>
              </w:rPr>
            </w:r>
            <w:r w:rsidR="005912ED">
              <w:rPr>
                <w:noProof/>
                <w:lang w:val="uk-UA"/>
              </w:rPr>
              <w:fldChar w:fldCharType="separate"/>
            </w:r>
            <w:r w:rsidR="005912ED">
              <w:rPr>
                <w:noProof/>
                <w:lang w:val="uk-UA"/>
              </w:rPr>
              <w:t>66</w:t>
            </w:r>
            <w:r w:rsidR="005912ED">
              <w:rPr>
                <w:noProof/>
                <w:lang w:val="uk-UA"/>
              </w:rPr>
              <w:fldChar w:fldCharType="end"/>
            </w:r>
          </w:hyperlink>
        </w:p>
        <w:p w14:paraId="6CF45C65" w14:textId="77777777" w:rsidR="007B2C28" w:rsidRPr="00C04D43" w:rsidRDefault="00267808" w:rsidP="00C04D43">
          <w:pPr>
            <w:pStyle w:val="11"/>
            <w:tabs>
              <w:tab w:val="right" w:leader="dot" w:pos="9344"/>
            </w:tabs>
            <w:spacing w:after="0" w:line="360" w:lineRule="auto"/>
            <w:rPr>
              <w:noProof/>
              <w:lang w:val="uk-UA"/>
            </w:rPr>
          </w:pPr>
          <w:hyperlink w:anchor="_Toc231668473" w:history="1">
            <w:r w:rsidR="005912ED">
              <w:rPr>
                <w:rStyle w:val="a5"/>
                <w:caps/>
                <w:noProof/>
                <w:lang w:val="uk-UA"/>
              </w:rPr>
              <w:t>Список використаних джерел</w:t>
            </w:r>
            <w:r w:rsidR="005912ED">
              <w:rPr>
                <w:noProof/>
                <w:lang w:val="uk-UA"/>
              </w:rPr>
              <w:tab/>
            </w:r>
            <w:r w:rsidR="005912ED">
              <w:rPr>
                <w:noProof/>
                <w:lang w:val="uk-UA"/>
              </w:rPr>
              <w:fldChar w:fldCharType="begin"/>
            </w:r>
            <w:r w:rsidR="005912ED">
              <w:rPr>
                <w:noProof/>
                <w:lang w:val="uk-UA"/>
              </w:rPr>
              <w:instrText xml:space="preserve"> PAGEREF _Toc231668473 \h </w:instrText>
            </w:r>
            <w:r w:rsidR="005912ED">
              <w:rPr>
                <w:noProof/>
                <w:lang w:val="uk-UA"/>
              </w:rPr>
            </w:r>
            <w:r w:rsidR="005912ED">
              <w:rPr>
                <w:noProof/>
                <w:lang w:val="uk-UA"/>
              </w:rPr>
              <w:fldChar w:fldCharType="separate"/>
            </w:r>
            <w:r w:rsidR="005912ED">
              <w:rPr>
                <w:noProof/>
                <w:lang w:val="uk-UA"/>
              </w:rPr>
              <w:t>70</w:t>
            </w:r>
            <w:r w:rsidR="005912ED">
              <w:rPr>
                <w:noProof/>
                <w:lang w:val="uk-UA"/>
              </w:rPr>
              <w:fldChar w:fldCharType="end"/>
            </w:r>
          </w:hyperlink>
        </w:p>
        <w:p w14:paraId="75897C9C" w14:textId="0AC553FF" w:rsidR="007B2C28" w:rsidRPr="00C04D43" w:rsidRDefault="00267808" w:rsidP="00C04D43">
          <w:pPr>
            <w:pStyle w:val="11"/>
            <w:tabs>
              <w:tab w:val="right" w:leader="dot" w:pos="9344"/>
            </w:tabs>
            <w:spacing w:after="0" w:line="360" w:lineRule="auto"/>
            <w:rPr>
              <w:noProof/>
              <w:lang w:val="uk-UA"/>
            </w:rPr>
          </w:pPr>
          <w:hyperlink w:anchor="_Toc231668474" w:history="1">
            <w:r w:rsidR="005912ED">
              <w:rPr>
                <w:rStyle w:val="a5"/>
                <w:caps/>
                <w:noProof/>
                <w:lang w:val="uk-UA"/>
              </w:rPr>
              <w:t>Додаток А</w:t>
            </w:r>
            <w:r w:rsidR="005912ED">
              <w:rPr>
                <w:noProof/>
                <w:lang w:val="uk-UA"/>
              </w:rPr>
              <w:tab/>
            </w:r>
            <w:r w:rsidR="005912ED">
              <w:rPr>
                <w:noProof/>
                <w:lang w:val="uk-UA"/>
              </w:rPr>
              <w:fldChar w:fldCharType="begin"/>
            </w:r>
            <w:r w:rsidR="005912ED">
              <w:rPr>
                <w:noProof/>
                <w:lang w:val="uk-UA"/>
              </w:rPr>
              <w:instrText xml:space="preserve"> PAGEREF _Toc231668474 \h </w:instrText>
            </w:r>
            <w:r w:rsidR="005912ED">
              <w:rPr>
                <w:noProof/>
                <w:lang w:val="uk-UA"/>
              </w:rPr>
            </w:r>
            <w:r w:rsidR="005912ED">
              <w:rPr>
                <w:noProof/>
                <w:lang w:val="uk-UA"/>
              </w:rPr>
              <w:fldChar w:fldCharType="separate"/>
            </w:r>
            <w:r w:rsidR="005912ED">
              <w:rPr>
                <w:noProof/>
                <w:lang w:val="uk-UA"/>
              </w:rPr>
              <w:t>79</w:t>
            </w:r>
            <w:r w:rsidR="005912ED">
              <w:rPr>
                <w:noProof/>
                <w:lang w:val="uk-UA"/>
              </w:rPr>
              <w:fldChar w:fldCharType="end"/>
            </w:r>
          </w:hyperlink>
        </w:p>
        <w:p w14:paraId="367E587F" w14:textId="77777777" w:rsidR="00135B88" w:rsidRPr="00C04D43" w:rsidRDefault="00F4635C" w:rsidP="00C04D43">
          <w:pPr>
            <w:tabs>
              <w:tab w:val="right" w:leader="dot" w:pos="9355"/>
            </w:tabs>
            <w:spacing w:line="360" w:lineRule="auto"/>
            <w:rPr>
              <w:noProof/>
              <w:lang w:val="uk-UA"/>
            </w:rPr>
          </w:pPr>
          <w:r>
            <w:rPr>
              <w:lang w:val="uk-UA"/>
            </w:rPr>
            <w:fldChar w:fldCharType="end"/>
          </w:r>
        </w:p>
      </w:sdtContent>
    </w:sdt>
    <w:p w14:paraId="2815C24D" w14:textId="77777777" w:rsidR="00135B88" w:rsidRPr="00C04D43" w:rsidRDefault="00F4635C" w:rsidP="00C04D43">
      <w:pPr>
        <w:pStyle w:val="1"/>
        <w:pageBreakBefore/>
        <w:spacing w:after="0"/>
        <w:rPr>
          <w:lang w:val="uk-UA"/>
        </w:rPr>
      </w:pPr>
      <w:bookmarkStart w:id="3" w:name="_Toc231668455"/>
      <w:r>
        <w:rPr>
          <w:caps/>
          <w:lang w:val="uk-UA"/>
        </w:rPr>
        <w:lastRenderedPageBreak/>
        <w:t>Перелік умовних скорочень</w:t>
      </w:r>
      <w:bookmarkEnd w:id="3"/>
    </w:p>
    <w:p w14:paraId="65CBC65B" w14:textId="77777777" w:rsidR="00135B88" w:rsidRPr="00C04D43" w:rsidRDefault="00F4635C" w:rsidP="00C04D43">
      <w:pPr>
        <w:spacing w:line="360" w:lineRule="auto"/>
        <w:ind w:firstLine="705"/>
        <w:jc w:val="both"/>
        <w:rPr>
          <w:lang w:val="uk-UA"/>
        </w:rPr>
      </w:pPr>
      <w:r>
        <w:rPr>
          <w:b/>
          <w:bCs/>
          <w:lang w:val="uk-UA"/>
        </w:rPr>
        <w:t xml:space="preserve">3D – </w:t>
      </w:r>
      <w:r>
        <w:rPr>
          <w:lang w:val="uk-UA"/>
        </w:rPr>
        <w:t>тривимірне моделювання (three-dimensional)</w:t>
      </w:r>
    </w:p>
    <w:p w14:paraId="55858EB6" w14:textId="77777777" w:rsidR="00135B88" w:rsidRPr="00C04D43" w:rsidRDefault="00F4635C" w:rsidP="00C04D43">
      <w:pPr>
        <w:spacing w:line="360" w:lineRule="auto"/>
        <w:ind w:firstLine="705"/>
        <w:jc w:val="both"/>
        <w:rPr>
          <w:lang w:val="uk-UA"/>
        </w:rPr>
      </w:pPr>
      <w:r>
        <w:rPr>
          <w:b/>
          <w:bCs/>
          <w:lang w:val="uk-UA"/>
        </w:rPr>
        <w:t xml:space="preserve">AI – </w:t>
      </w:r>
      <w:r>
        <w:rPr>
          <w:lang w:val="uk-UA"/>
        </w:rPr>
        <w:t>штучний інтелект (Artificial Intelligence)</w:t>
      </w:r>
    </w:p>
    <w:p w14:paraId="7FC0CD68" w14:textId="77777777" w:rsidR="00135B88" w:rsidRPr="00C04D43" w:rsidRDefault="00F4635C" w:rsidP="00C04D43">
      <w:pPr>
        <w:spacing w:line="360" w:lineRule="auto"/>
        <w:ind w:firstLine="705"/>
        <w:jc w:val="both"/>
        <w:rPr>
          <w:lang w:val="uk-UA"/>
        </w:rPr>
      </w:pPr>
      <w:r>
        <w:rPr>
          <w:b/>
          <w:bCs/>
          <w:lang w:val="uk-UA"/>
        </w:rPr>
        <w:t xml:space="preserve">AR – </w:t>
      </w:r>
      <w:r>
        <w:rPr>
          <w:lang w:val="uk-UA"/>
        </w:rPr>
        <w:t>доповнена реальність (Augmented Reality)</w:t>
      </w:r>
    </w:p>
    <w:p w14:paraId="22950133" w14:textId="77777777" w:rsidR="00135B88" w:rsidRPr="00C04D43" w:rsidRDefault="00F4635C" w:rsidP="00C04D43">
      <w:pPr>
        <w:spacing w:line="360" w:lineRule="auto"/>
        <w:ind w:firstLine="705"/>
        <w:jc w:val="both"/>
        <w:rPr>
          <w:lang w:val="uk-UA"/>
        </w:rPr>
      </w:pPr>
      <w:r>
        <w:rPr>
          <w:b/>
          <w:bCs/>
          <w:lang w:val="uk-UA"/>
        </w:rPr>
        <w:t xml:space="preserve">CIDOC CRM – </w:t>
      </w:r>
      <w:r>
        <w:rPr>
          <w:lang w:val="uk-UA"/>
        </w:rPr>
        <w:t>концептуальна референтна модель CIDOC (ISO 21127:2023)</w:t>
      </w:r>
    </w:p>
    <w:p w14:paraId="495BC317" w14:textId="77777777" w:rsidR="00135B88" w:rsidRPr="00C04D43" w:rsidRDefault="00F4635C" w:rsidP="00C04D43">
      <w:pPr>
        <w:spacing w:line="360" w:lineRule="auto"/>
        <w:ind w:firstLine="705"/>
        <w:jc w:val="both"/>
        <w:rPr>
          <w:lang w:val="uk-UA"/>
        </w:rPr>
      </w:pPr>
      <w:r>
        <w:rPr>
          <w:b/>
          <w:bCs/>
          <w:lang w:val="uk-UA"/>
        </w:rPr>
        <w:t xml:space="preserve">COVID-19 – </w:t>
      </w:r>
      <w:r>
        <w:rPr>
          <w:lang w:val="uk-UA"/>
        </w:rPr>
        <w:t>коронавірусна хвороба 2019 року</w:t>
      </w:r>
    </w:p>
    <w:p w14:paraId="605820B8" w14:textId="77777777" w:rsidR="00135B88" w:rsidRPr="00C04D43" w:rsidRDefault="00F4635C" w:rsidP="00C04D43">
      <w:pPr>
        <w:spacing w:line="360" w:lineRule="auto"/>
        <w:ind w:firstLine="705"/>
        <w:jc w:val="both"/>
        <w:rPr>
          <w:lang w:val="uk-UA"/>
        </w:rPr>
      </w:pPr>
      <w:r>
        <w:rPr>
          <w:b/>
          <w:bCs/>
          <w:lang w:val="uk-UA"/>
        </w:rPr>
        <w:t xml:space="preserve">ICOM – </w:t>
      </w:r>
      <w:r>
        <w:rPr>
          <w:lang w:val="uk-UA"/>
        </w:rPr>
        <w:t>Міжнародна рада музеїв (International Council of Museums)</w:t>
      </w:r>
    </w:p>
    <w:p w14:paraId="2FEC2B1B" w14:textId="77777777" w:rsidR="00135B88" w:rsidRPr="00C04D43" w:rsidRDefault="00F4635C" w:rsidP="00C04D43">
      <w:pPr>
        <w:spacing w:line="360" w:lineRule="auto"/>
        <w:ind w:firstLine="705"/>
        <w:jc w:val="both"/>
        <w:rPr>
          <w:lang w:val="uk-UA"/>
        </w:rPr>
      </w:pPr>
      <w:r>
        <w:rPr>
          <w:b/>
          <w:bCs/>
          <w:lang w:val="uk-UA"/>
        </w:rPr>
        <w:t xml:space="preserve">MEUX – </w:t>
      </w:r>
      <w:r>
        <w:rPr>
          <w:lang w:val="uk-UA"/>
        </w:rPr>
        <w:t>модель користувацького досвіду музейної експозиції (Museum Exhibition User Experience)</w:t>
      </w:r>
    </w:p>
    <w:p w14:paraId="123E72BE" w14:textId="77777777" w:rsidR="00135B88" w:rsidRPr="00C04D43" w:rsidRDefault="00F4635C" w:rsidP="00C04D43">
      <w:pPr>
        <w:spacing w:line="360" w:lineRule="auto"/>
        <w:ind w:firstLine="705"/>
        <w:jc w:val="both"/>
        <w:rPr>
          <w:lang w:val="uk-UA"/>
        </w:rPr>
      </w:pPr>
      <w:r>
        <w:rPr>
          <w:b/>
          <w:bCs/>
          <w:lang w:val="uk-UA"/>
        </w:rPr>
        <w:t xml:space="preserve">VR – </w:t>
      </w:r>
      <w:r>
        <w:rPr>
          <w:lang w:val="uk-UA"/>
        </w:rPr>
        <w:t>віртуальна реальність (Virtual Reality)</w:t>
      </w:r>
    </w:p>
    <w:p w14:paraId="00C4A4E4" w14:textId="77777777" w:rsidR="00135B88" w:rsidRPr="00C04D43" w:rsidRDefault="00F4635C" w:rsidP="00C04D43">
      <w:pPr>
        <w:spacing w:line="360" w:lineRule="auto"/>
        <w:ind w:firstLine="705"/>
        <w:jc w:val="both"/>
        <w:rPr>
          <w:lang w:val="uk-UA"/>
        </w:rPr>
      </w:pPr>
      <w:r>
        <w:rPr>
          <w:b/>
          <w:bCs/>
          <w:lang w:val="uk-UA"/>
        </w:rPr>
        <w:t xml:space="preserve">ЄС – </w:t>
      </w:r>
      <w:r>
        <w:rPr>
          <w:lang w:val="uk-UA"/>
        </w:rPr>
        <w:t>Європейський Союз</w:t>
      </w:r>
    </w:p>
    <w:p w14:paraId="12F66558" w14:textId="77777777" w:rsidR="00135B88" w:rsidRPr="00C04D43" w:rsidRDefault="00F4635C" w:rsidP="00C04D43">
      <w:pPr>
        <w:spacing w:line="360" w:lineRule="auto"/>
        <w:ind w:firstLine="705"/>
        <w:jc w:val="both"/>
        <w:rPr>
          <w:lang w:val="uk-UA"/>
        </w:rPr>
      </w:pPr>
      <w:r>
        <w:rPr>
          <w:b/>
          <w:bCs/>
          <w:lang w:val="uk-UA"/>
        </w:rPr>
        <w:t xml:space="preserve">ЗСУ – </w:t>
      </w:r>
      <w:r>
        <w:rPr>
          <w:lang w:val="uk-UA"/>
        </w:rPr>
        <w:t>Збройні Сили України</w:t>
      </w:r>
    </w:p>
    <w:p w14:paraId="119AA263" w14:textId="77777777" w:rsidR="00135B88" w:rsidRPr="00C04D43" w:rsidRDefault="00F4635C" w:rsidP="00C04D43">
      <w:pPr>
        <w:spacing w:line="360" w:lineRule="auto"/>
        <w:ind w:firstLine="705"/>
        <w:jc w:val="both"/>
        <w:rPr>
          <w:lang w:val="uk-UA"/>
        </w:rPr>
      </w:pPr>
      <w:r>
        <w:rPr>
          <w:b/>
          <w:bCs/>
          <w:lang w:val="uk-UA"/>
        </w:rPr>
        <w:t xml:space="preserve">МКІП – </w:t>
      </w:r>
      <w:r>
        <w:rPr>
          <w:lang w:val="uk-UA"/>
        </w:rPr>
        <w:t>Міністерство культури та інформаційної політики України</w:t>
      </w:r>
    </w:p>
    <w:p w14:paraId="74545E88" w14:textId="77777777" w:rsidR="00135B88" w:rsidRPr="00C04D43" w:rsidRDefault="00F4635C" w:rsidP="00C04D43">
      <w:pPr>
        <w:spacing w:line="360" w:lineRule="auto"/>
        <w:ind w:firstLine="705"/>
        <w:jc w:val="both"/>
        <w:rPr>
          <w:lang w:val="uk-UA"/>
        </w:rPr>
      </w:pPr>
      <w:r>
        <w:rPr>
          <w:b/>
          <w:bCs/>
          <w:lang w:val="uk-UA"/>
        </w:rPr>
        <w:t xml:space="preserve">НБУВ – </w:t>
      </w:r>
      <w:r>
        <w:rPr>
          <w:lang w:val="uk-UA"/>
        </w:rPr>
        <w:t>Національна бібліотека України імені В. І. Вернадського</w:t>
      </w:r>
    </w:p>
    <w:p w14:paraId="63BB7031" w14:textId="77777777" w:rsidR="00135B88" w:rsidRPr="00C04D43" w:rsidRDefault="00F4635C" w:rsidP="00C04D43">
      <w:pPr>
        <w:spacing w:line="360" w:lineRule="auto"/>
        <w:ind w:firstLine="705"/>
        <w:jc w:val="both"/>
        <w:rPr>
          <w:lang w:val="uk-UA"/>
        </w:rPr>
      </w:pPr>
      <w:r>
        <w:rPr>
          <w:b/>
          <w:bCs/>
          <w:lang w:val="uk-UA"/>
        </w:rPr>
        <w:t xml:space="preserve">НХМУ (NAMU) – </w:t>
      </w:r>
      <w:r>
        <w:rPr>
          <w:lang w:val="uk-UA"/>
        </w:rPr>
        <w:t>Національний художній музей України</w:t>
      </w:r>
    </w:p>
    <w:p w14:paraId="28CBF5DF" w14:textId="77777777" w:rsidR="00135B88" w:rsidRPr="00C04D43" w:rsidRDefault="00F4635C" w:rsidP="00C04D43">
      <w:pPr>
        <w:spacing w:line="360" w:lineRule="auto"/>
        <w:ind w:firstLine="705"/>
        <w:jc w:val="both"/>
        <w:rPr>
          <w:lang w:val="uk-UA"/>
        </w:rPr>
      </w:pPr>
      <w:r>
        <w:rPr>
          <w:b/>
          <w:bCs/>
          <w:lang w:val="uk-UA"/>
        </w:rPr>
        <w:t xml:space="preserve">SUCHO – </w:t>
      </w:r>
      <w:r>
        <w:rPr>
          <w:lang w:val="uk-UA"/>
        </w:rPr>
        <w:t>Saving Ukrainian Cultural Heritage Online</w:t>
      </w:r>
    </w:p>
    <w:p w14:paraId="33A43F55" w14:textId="77777777" w:rsidR="00135B88" w:rsidRPr="00C04D43" w:rsidRDefault="00F4635C" w:rsidP="00C04D43">
      <w:pPr>
        <w:spacing w:line="360" w:lineRule="auto"/>
        <w:ind w:firstLine="705"/>
        <w:jc w:val="both"/>
        <w:rPr>
          <w:lang w:val="uk-UA"/>
        </w:rPr>
      </w:pPr>
      <w:r>
        <w:rPr>
          <w:b/>
          <w:bCs/>
          <w:lang w:val="uk-UA"/>
        </w:rPr>
        <w:t xml:space="preserve">HeMo – </w:t>
      </w:r>
      <w:r>
        <w:rPr>
          <w:lang w:val="uk-UA"/>
        </w:rPr>
        <w:t>Ukrainian Heritage Monitoring Lab</w:t>
      </w:r>
    </w:p>
    <w:p w14:paraId="3F1E791E" w14:textId="77777777" w:rsidR="00135B88" w:rsidRPr="00C04D43" w:rsidRDefault="00F4635C" w:rsidP="00C04D43">
      <w:pPr>
        <w:pStyle w:val="1"/>
        <w:pageBreakBefore/>
        <w:spacing w:after="0"/>
        <w:rPr>
          <w:lang w:val="uk-UA"/>
        </w:rPr>
      </w:pPr>
      <w:bookmarkStart w:id="4" w:name="_Toc231668456"/>
      <w:r>
        <w:rPr>
          <w:caps/>
          <w:lang w:val="uk-UA"/>
        </w:rPr>
        <w:lastRenderedPageBreak/>
        <w:t>Вступ</w:t>
      </w:r>
      <w:bookmarkEnd w:id="4"/>
    </w:p>
    <w:p w14:paraId="0F195A8E" w14:textId="77777777" w:rsidR="009555D9" w:rsidRPr="00C04D43" w:rsidRDefault="00870BED" w:rsidP="00C04D43">
      <w:pPr>
        <w:spacing w:line="360" w:lineRule="auto"/>
        <w:ind w:firstLine="709"/>
        <w:jc w:val="both"/>
        <w:rPr>
          <w:lang w:val="uk-UA"/>
        </w:rPr>
      </w:pPr>
      <w:r>
        <w:rPr>
          <w:b/>
          <w:bCs/>
          <w:lang w:val="uk-UA"/>
        </w:rPr>
        <w:t xml:space="preserve">Актуальність теми. </w:t>
      </w:r>
      <w:r>
        <w:rPr>
          <w:lang w:val="uk-UA"/>
        </w:rPr>
        <w:t>Сучасна музейна сфера перебуває на етапі глибокої інтеграції цифрових технологій, що перетворюють традиційні експозиційні простори на динамічні середовища мультисенсорної взаємодії, інтерпретації та навчання. Традиційні методи організації виставок, які значною мірою покладалися на фізичну присутність артефактів, доповнюються або заміщуються віртуальними середовищами, де межа між реальним і цифровим стає рухомою. В Україні цей процес набув особливої гостроти: пандемія COVID-19 і повномасштабна війна Росії проти України стали його каталізаторами, змусивши інституції в умовах втрати стабільності шукати інструменти збереження спадщини та забезпечення доступу до колекцій у формі цифрових двійників і віртуальних турів.</w:t>
      </w:r>
    </w:p>
    <w:p w14:paraId="5AB3A737" w14:textId="77777777" w:rsidR="009555D9" w:rsidRPr="00C04D43" w:rsidRDefault="00870BED" w:rsidP="00C04D43">
      <w:pPr>
        <w:spacing w:line="360" w:lineRule="auto"/>
        <w:ind w:firstLine="709"/>
        <w:jc w:val="both"/>
        <w:rPr>
          <w:lang w:val="uk-UA"/>
        </w:rPr>
      </w:pPr>
      <w:r>
        <w:rPr>
          <w:lang w:val="uk-UA"/>
        </w:rPr>
        <w:t>Застосування технологій штучного інтелекту, віртуальної та доповненої реальності, а також гігапіксельної візуалізації та 3D-сканування розширює можливості репрезентації, дозволяючи відкривати для відвідувача ті виміри твору, які за умов класичного огляду залишаються невидимими. Дослідження ефективності таких рішень потребує сучасних аналітичних моделей, як-от MEUX, що дозволяє оцінювати прагматичні та гедоністичні якості виставкового досвіду. На тлі цього актуальною стає потреба в системному мистецтвознавчому аналізі того, як цифрові технології реалізуються в музейній практиці – як за кордоном, де цифровізація розгорталася переважно в умовах інституційної стабільності, так і в Україні, де цифровий ресурс набув функцій, не властивих стабільному контексту. Ідеться про ситуації, коли стабільність музейної роботи порушується – через збройний конфлікт, але також через інші надзвичайні обставини, як-от пожежа чи стихійне лихо, – і цифровий ресурс перебирає на себе завдання збереження доступу до спадщини, що опинилася під загрозою.</w:t>
      </w:r>
    </w:p>
    <w:p w14:paraId="3922DA93" w14:textId="77777777" w:rsidR="009555D9" w:rsidRPr="00C04D43" w:rsidRDefault="00870BED" w:rsidP="00C04D43">
      <w:pPr>
        <w:spacing w:line="360" w:lineRule="auto"/>
        <w:ind w:firstLine="709"/>
        <w:jc w:val="both"/>
        <w:rPr>
          <w:lang w:val="uk-UA"/>
        </w:rPr>
      </w:pPr>
      <w:r>
        <w:rPr>
          <w:b/>
          <w:bCs/>
          <w:lang w:val="uk-UA"/>
        </w:rPr>
        <w:t xml:space="preserve">Мета дослідження </w:t>
      </w:r>
      <w:r>
        <w:rPr>
          <w:lang w:val="uk-UA"/>
        </w:rPr>
        <w:t xml:space="preserve">– проаналізувати теоретичні моделі та практичний міжнародний і український досвід організації музейних виставок за </w:t>
      </w:r>
      <w:r>
        <w:rPr>
          <w:lang w:val="uk-UA"/>
        </w:rPr>
        <w:lastRenderedPageBreak/>
        <w:t>допомогою цифрових технологій, а також виявити технологічні особливості та ризики їх упровадження.</w:t>
      </w:r>
    </w:p>
    <w:p w14:paraId="0927FAF8" w14:textId="77777777" w:rsidR="009555D9" w:rsidRPr="00C04D43" w:rsidRDefault="00870BED" w:rsidP="00C04D43">
      <w:pPr>
        <w:spacing w:line="360" w:lineRule="auto"/>
        <w:ind w:firstLine="709"/>
        <w:jc w:val="both"/>
        <w:rPr>
          <w:lang w:val="uk-UA"/>
        </w:rPr>
      </w:pPr>
      <w:r>
        <w:rPr>
          <w:b/>
          <w:bCs/>
          <w:lang w:val="uk-UA"/>
        </w:rPr>
        <w:t>Завдання дослідження:</w:t>
      </w:r>
    </w:p>
    <w:p w14:paraId="5DD3AD18" w14:textId="77777777" w:rsidR="009555D9" w:rsidRPr="00C04D43" w:rsidRDefault="00870BED" w:rsidP="00C04D43">
      <w:pPr>
        <w:spacing w:line="360" w:lineRule="auto"/>
        <w:ind w:firstLine="709"/>
        <w:jc w:val="both"/>
        <w:rPr>
          <w:lang w:val="uk-UA"/>
        </w:rPr>
      </w:pPr>
      <w:r>
        <w:rPr>
          <w:lang w:val="uk-UA"/>
        </w:rPr>
        <w:t>1) вивчити стан наукової розробки проблеми та охарактеризувати джерельну базу дослідження;</w:t>
      </w:r>
    </w:p>
    <w:p w14:paraId="1CA469FB" w14:textId="77777777" w:rsidR="009555D9" w:rsidRPr="00C04D43" w:rsidRDefault="00870BED" w:rsidP="00C04D43">
      <w:pPr>
        <w:spacing w:line="360" w:lineRule="auto"/>
        <w:ind w:firstLine="709"/>
        <w:jc w:val="both"/>
        <w:rPr>
          <w:lang w:val="uk-UA"/>
        </w:rPr>
      </w:pPr>
      <w:r>
        <w:rPr>
          <w:lang w:val="uk-UA"/>
        </w:rPr>
        <w:t>2) розглянути теоретичні моделі організації виставкового досвіду, зокрема модель MEUX;</w:t>
      </w:r>
    </w:p>
    <w:p w14:paraId="6A828A1D" w14:textId="77777777" w:rsidR="009555D9" w:rsidRPr="00C04D43" w:rsidRDefault="00870BED" w:rsidP="00C04D43">
      <w:pPr>
        <w:spacing w:line="360" w:lineRule="auto"/>
        <w:ind w:firstLine="709"/>
        <w:jc w:val="both"/>
        <w:rPr>
          <w:lang w:val="uk-UA"/>
        </w:rPr>
      </w:pPr>
      <w:r>
        <w:rPr>
          <w:lang w:val="uk-UA"/>
        </w:rPr>
        <w:t>3) дослідити практики застосування цифрових технологій у виставковій діяльності музеїв світу;</w:t>
      </w:r>
    </w:p>
    <w:p w14:paraId="2CF962C3" w14:textId="77777777" w:rsidR="009555D9" w:rsidRPr="00C04D43" w:rsidRDefault="00870BED" w:rsidP="00C04D43">
      <w:pPr>
        <w:spacing w:line="360" w:lineRule="auto"/>
        <w:ind w:firstLine="709"/>
        <w:jc w:val="both"/>
        <w:rPr>
          <w:lang w:val="uk-UA"/>
        </w:rPr>
      </w:pPr>
      <w:r>
        <w:rPr>
          <w:lang w:val="uk-UA"/>
        </w:rPr>
        <w:t>4) проаналізувати український досвід цифровізації виставкової діяльності в умовах війни та з’ясувати зв’язок документаційної і виставкової функцій цифрових інструментів;</w:t>
      </w:r>
    </w:p>
    <w:p w14:paraId="764E9FB7" w14:textId="77777777" w:rsidR="009555D9" w:rsidRPr="00C04D43" w:rsidRDefault="00870BED" w:rsidP="00C04D43">
      <w:pPr>
        <w:spacing w:line="360" w:lineRule="auto"/>
        <w:ind w:firstLine="709"/>
        <w:jc w:val="both"/>
        <w:rPr>
          <w:lang w:val="uk-UA"/>
        </w:rPr>
      </w:pPr>
      <w:r>
        <w:rPr>
          <w:lang w:val="uk-UA"/>
        </w:rPr>
        <w:t>5) систематизувати технічні, економічні та етичні ризики використання цифрових технологій в експозиціях.</w:t>
      </w:r>
    </w:p>
    <w:p w14:paraId="41521742" w14:textId="77777777" w:rsidR="009555D9" w:rsidRPr="00C04D43" w:rsidRDefault="00870BED" w:rsidP="00C04D43">
      <w:pPr>
        <w:spacing w:line="360" w:lineRule="auto"/>
        <w:ind w:firstLine="709"/>
        <w:jc w:val="both"/>
        <w:rPr>
          <w:lang w:val="uk-UA"/>
        </w:rPr>
      </w:pPr>
      <w:r>
        <w:rPr>
          <w:b/>
          <w:bCs/>
          <w:lang w:val="uk-UA"/>
        </w:rPr>
        <w:t xml:space="preserve">Об’єкт дослідження </w:t>
      </w:r>
      <w:r>
        <w:rPr>
          <w:lang w:val="uk-UA"/>
        </w:rPr>
        <w:t>– виставкова діяльність музеїв.</w:t>
      </w:r>
    </w:p>
    <w:p w14:paraId="0553087C" w14:textId="77777777" w:rsidR="009555D9" w:rsidRPr="00C04D43" w:rsidRDefault="00870BED" w:rsidP="00C04D43">
      <w:pPr>
        <w:spacing w:line="360" w:lineRule="auto"/>
        <w:ind w:firstLine="709"/>
        <w:jc w:val="both"/>
        <w:rPr>
          <w:lang w:val="uk-UA"/>
        </w:rPr>
      </w:pPr>
      <w:r>
        <w:rPr>
          <w:b/>
          <w:bCs/>
          <w:lang w:val="uk-UA"/>
        </w:rPr>
        <w:t xml:space="preserve">Предмет дослідження </w:t>
      </w:r>
      <w:r>
        <w:rPr>
          <w:lang w:val="uk-UA"/>
        </w:rPr>
        <w:t>– цифрові технології в експозиціях музеїв.</w:t>
      </w:r>
    </w:p>
    <w:p w14:paraId="5D7937CA" w14:textId="77777777" w:rsidR="009555D9" w:rsidRPr="00C04D43" w:rsidRDefault="00870BED" w:rsidP="00C04D43">
      <w:pPr>
        <w:spacing w:line="360" w:lineRule="auto"/>
        <w:ind w:firstLine="709"/>
        <w:jc w:val="both"/>
        <w:rPr>
          <w:lang w:val="uk-UA"/>
        </w:rPr>
      </w:pPr>
      <w:r>
        <w:rPr>
          <w:b/>
          <w:bCs/>
          <w:lang w:val="uk-UA"/>
        </w:rPr>
        <w:t>Методи дослідження:</w:t>
      </w:r>
    </w:p>
    <w:p w14:paraId="0E5E29CF" w14:textId="77777777" w:rsidR="009555D9" w:rsidRPr="00C04D43" w:rsidRDefault="00870BED" w:rsidP="00C04D43">
      <w:pPr>
        <w:spacing w:line="360" w:lineRule="auto"/>
        <w:ind w:firstLine="709"/>
        <w:jc w:val="both"/>
        <w:rPr>
          <w:lang w:val="uk-UA"/>
        </w:rPr>
      </w:pPr>
      <w:r>
        <w:rPr>
          <w:lang w:val="uk-UA"/>
        </w:rPr>
        <w:t>– системний аналіз – для розгляду виставкової діяльності як цілісної системи, що включає технологічні інструменти, стратегії управління та соціокультурний контекст;</w:t>
      </w:r>
    </w:p>
    <w:p w14:paraId="4D76B37B" w14:textId="77777777" w:rsidR="009555D9" w:rsidRPr="00C04D43" w:rsidRDefault="00870BED" w:rsidP="00C04D43">
      <w:pPr>
        <w:spacing w:line="360" w:lineRule="auto"/>
        <w:ind w:firstLine="709"/>
        <w:jc w:val="both"/>
        <w:rPr>
          <w:lang w:val="uk-UA"/>
        </w:rPr>
      </w:pPr>
      <w:r>
        <w:rPr>
          <w:lang w:val="uk-UA"/>
        </w:rPr>
        <w:t>– порівняльний аналіз – для зіставлення міжнародних та українських практик за єдиними критеріями;</w:t>
      </w:r>
    </w:p>
    <w:p w14:paraId="5DD041E2" w14:textId="77777777" w:rsidR="009555D9" w:rsidRPr="00C04D43" w:rsidRDefault="00870BED" w:rsidP="00C04D43">
      <w:pPr>
        <w:spacing w:line="360" w:lineRule="auto"/>
        <w:ind w:firstLine="709"/>
        <w:jc w:val="both"/>
        <w:rPr>
          <w:lang w:val="uk-UA"/>
        </w:rPr>
      </w:pPr>
      <w:r>
        <w:rPr>
          <w:lang w:val="uk-UA"/>
        </w:rPr>
        <w:t>– метод кейс-стаді – для глибинного вивчення окремих проєктів як репрезентативних прикладів цифрової трансформації;</w:t>
      </w:r>
    </w:p>
    <w:p w14:paraId="197C70E4" w14:textId="77777777" w:rsidR="009555D9" w:rsidRPr="00C04D43" w:rsidRDefault="00870BED" w:rsidP="00C04D43">
      <w:pPr>
        <w:spacing w:line="360" w:lineRule="auto"/>
        <w:ind w:firstLine="709"/>
        <w:jc w:val="both"/>
        <w:rPr>
          <w:lang w:val="uk-UA"/>
        </w:rPr>
      </w:pPr>
      <w:r>
        <w:rPr>
          <w:lang w:val="uk-UA"/>
        </w:rPr>
        <w:t>– дискурс-аналіз та модель MEUX – для оцінки структури виставкового досвіду та його сприйняття у прагматичному й гедоністичному вимірах.</w:t>
      </w:r>
    </w:p>
    <w:p w14:paraId="5603A2FC" w14:textId="77777777" w:rsidR="009555D9" w:rsidRPr="00C04D43" w:rsidRDefault="00870BED" w:rsidP="00C04D43">
      <w:pPr>
        <w:spacing w:line="360" w:lineRule="auto"/>
        <w:ind w:firstLine="709"/>
        <w:jc w:val="both"/>
        <w:rPr>
          <w:lang w:val="uk-UA"/>
        </w:rPr>
      </w:pPr>
      <w:r>
        <w:rPr>
          <w:b/>
          <w:bCs/>
          <w:lang w:val="uk-UA"/>
        </w:rPr>
        <w:t xml:space="preserve">Наукова новизна дослідження </w:t>
      </w:r>
      <w:r>
        <w:rPr>
          <w:lang w:val="uk-UA"/>
        </w:rPr>
        <w:t xml:space="preserve">полягає в тому, що в роботі здійснено спробу систематичного мистецтвознавчого аналізу функціональної трансформації українських практик «кризової цифровізації», де цифровий ресурс набуває функцій збереження спадщини та інституційного виживання, </w:t>
      </w:r>
      <w:r>
        <w:rPr>
          <w:lang w:val="uk-UA"/>
        </w:rPr>
        <w:lastRenderedPageBreak/>
        <w:t>на відміну від стабільного міжнародного контексту; показано, що якість цифрової документації музейних колекцій визначає межі їхньої майбутньої виставкової й реституційної репрезентації.</w:t>
      </w:r>
    </w:p>
    <w:p w14:paraId="64907450" w14:textId="77777777" w:rsidR="009555D9" w:rsidRPr="00C04D43" w:rsidRDefault="00870BED" w:rsidP="00C04D43">
      <w:pPr>
        <w:spacing w:line="360" w:lineRule="auto"/>
        <w:ind w:firstLine="709"/>
        <w:jc w:val="both"/>
        <w:rPr>
          <w:lang w:val="uk-UA"/>
        </w:rPr>
      </w:pPr>
      <w:r>
        <w:rPr>
          <w:b/>
          <w:bCs/>
          <w:lang w:val="uk-UA"/>
        </w:rPr>
        <w:t xml:space="preserve">Практичне значення одержаних результатів </w:t>
      </w:r>
      <w:r>
        <w:rPr>
          <w:lang w:val="uk-UA"/>
        </w:rPr>
        <w:t>полягає в тому, що запропонований у роботі аналітичний підхід – оцінка цифрових виставкових рішень за критерієм відповідності репрезентаційній меті та за вимірами моделі MEUX – може бути застосований музейними та кураторськими командами для обґрунтованого вибору цифрових форматів на етапі планування виставкових проєктів. Висновки роботи про зв’язок якості цифрової документації з можливостями майбутньої виставкової та реституційної роботи є практично значущими для українських музеїв, що формують цифрові архіви колекцій в умовах воєнних ризиків. Результати дослідження можуть бути використані також у викладанні курсів з музеєзнавства, теорії та історії мистецтва.</w:t>
      </w:r>
    </w:p>
    <w:p w14:paraId="1AB23456" w14:textId="1AB23456" w:rsidR="009555D9" w:rsidRPr="00C04D43" w:rsidRDefault="00870BED" w:rsidP="00C04D43">
      <w:pPr>
        <w:spacing w:line="360" w:lineRule="auto"/>
        <w:ind w:firstLine="709"/>
        <w:jc w:val="both"/>
        <w:rPr>
          <w:lang w:val="uk-UA"/>
        </w:rPr>
      </w:pPr>
      <w:r>
        <w:rPr>
          <w:b/>
          <w:bCs/>
          <w:lang w:val="uk-UA"/>
        </w:rPr>
        <w:t xml:space="preserve">Апробація теми. </w:t>
      </w:r>
      <w:r>
        <w:rPr>
          <w:lang w:val="uk-UA"/>
        </w:rPr>
        <w:t>Основні положення дослідження були оприлюднені у тезах доповіді на V Міжнародній науково-практичній конференції “Інновації в архітектурі, дизайні та мистецтві” (Київ, 13–15 травня 2026 р.) [23].</w:t>
      </w:r>
    </w:p>
    <w:p w14:paraId="14CB07F1" w14:textId="77777777" w:rsidR="009555D9" w:rsidRPr="00C04D43" w:rsidRDefault="00870BED" w:rsidP="00C04D43">
      <w:pPr>
        <w:spacing w:line="360" w:lineRule="auto"/>
        <w:ind w:firstLine="709"/>
        <w:jc w:val="both"/>
        <w:rPr>
          <w:lang w:val="uk-UA"/>
        </w:rPr>
      </w:pPr>
      <w:r>
        <w:rPr>
          <w:i/>
          <w:iCs/>
          <w:lang w:val="uk-UA"/>
        </w:rPr>
        <w:t>Робота виконана самостійно та не містить плагіату.</w:t>
      </w:r>
    </w:p>
    <w:p w14:paraId="4BFC6B16" w14:textId="39A5C99C" w:rsidR="009555D9" w:rsidRPr="00C04D43" w:rsidRDefault="00870BED" w:rsidP="00C04D43">
      <w:pPr>
        <w:spacing w:line="360" w:lineRule="auto"/>
        <w:ind w:firstLine="709"/>
        <w:jc w:val="both"/>
        <w:rPr>
          <w:lang w:val="uk-UA"/>
        </w:rPr>
      </w:pPr>
      <w:r>
        <w:rPr>
          <w:b/>
          <w:bCs/>
          <w:lang w:val="uk-UA"/>
        </w:rPr>
        <w:t xml:space="preserve">Структура та обсяг роботи. </w:t>
      </w:r>
      <w:r>
        <w:rPr>
          <w:lang w:val="uk-UA"/>
        </w:rPr>
        <w:t>Кваліфікаційна робота складається з анотації (українською та англійською мовами), переліку умовних скорочень, вступу, трьох розділів основної частини з висновками до кожного, загальних висновків, списку використаних джерел (74 позиції) та додатка, що містить список ілюстрацій та ілюстрації. Загальний обсяг роботи становить близько 88 сторінок, з них основний текст – близько 59 сторінок.</w:t>
      </w:r>
    </w:p>
    <w:p w14:paraId="2DA51039" w14:textId="77777777" w:rsidR="009555D9" w:rsidRPr="00C04D43" w:rsidRDefault="00870BED" w:rsidP="00C04D43">
      <w:pPr>
        <w:spacing w:line="360" w:lineRule="auto"/>
        <w:rPr>
          <w:lang w:val="uk-UA"/>
        </w:rPr>
      </w:pPr>
      <w:r>
        <w:rPr>
          <w:lang w:val="uk-UA"/>
        </w:rPr>
        <w:br w:type="page"/>
      </w:r>
    </w:p>
    <w:p w14:paraId="306C1D65" w14:textId="77777777" w:rsidR="00135B88" w:rsidRPr="00C04D43" w:rsidRDefault="00F4635C" w:rsidP="00C04D43">
      <w:pPr>
        <w:pStyle w:val="1"/>
        <w:pageBreakBefore/>
        <w:spacing w:after="0"/>
        <w:rPr>
          <w:lang w:val="uk-UA"/>
        </w:rPr>
      </w:pPr>
      <w:bookmarkStart w:id="5" w:name="_Toc231668457"/>
      <w:r>
        <w:rPr>
          <w:caps/>
          <w:lang w:val="uk-UA"/>
        </w:rPr>
        <w:lastRenderedPageBreak/>
        <w:t>Розділ 1. Історіографія та джерельна база дослідження</w:t>
      </w:r>
      <w:bookmarkEnd w:id="5"/>
    </w:p>
    <w:p w14:paraId="3EB0787E" w14:textId="77777777" w:rsidR="00135B88" w:rsidRPr="00C04D43" w:rsidRDefault="00F4635C" w:rsidP="00C04D43">
      <w:pPr>
        <w:pStyle w:val="2"/>
        <w:spacing w:after="0"/>
        <w:ind w:firstLine="705"/>
        <w:rPr>
          <w:lang w:val="uk-UA"/>
        </w:rPr>
      </w:pPr>
      <w:bookmarkStart w:id="6" w:name="_Toc231668458"/>
      <w:r>
        <w:rPr>
          <w:lang w:val="uk-UA"/>
        </w:rPr>
        <w:t>1.1. Історіографія</w:t>
      </w:r>
      <w:bookmarkEnd w:id="6"/>
    </w:p>
    <w:p w14:paraId="130B5A95" w14:textId="77777777" w:rsidR="009555D9" w:rsidRPr="00C04D43" w:rsidRDefault="00870BED" w:rsidP="00C04D43">
      <w:pPr>
        <w:spacing w:line="360" w:lineRule="auto"/>
        <w:ind w:firstLine="709"/>
        <w:jc w:val="both"/>
        <w:rPr>
          <w:lang w:val="uk-UA"/>
        </w:rPr>
      </w:pPr>
      <w:r>
        <w:rPr>
          <w:lang w:val="uk-UA"/>
        </w:rPr>
        <w:t>Дослідження цифрових технологій у виставковій діяльності музеїв не може бути коректно осмислене поза ширшою традицією вивчення музейної комунікації і трансформації публічної функції культурної інституції. Сучасний музей пройшов шлях від закритого сховища авторитетного знання до відкритого комунікативного простору, у якому відвідувач перестає бути пасивним адресатом і стає співучасником творення смислу. Цифрові технології – віртуальна та доповнена реальність, гігапіксельна візуалізація, цифрова реставрація, рекомендаційні системи й онлайн-платформи – постали не як зовнішній технічний додаток до цієї трансформації, а як один із її рушіїв, що водночас відкриває нові виставкові можливості й породжує нові ризики. Тому огляд літератури вибудувано як рух від праць, що сформували теоретичні підвалини розуміння взаємодії музею і відвідувача, через дослідження, які запропонували вимірювані інструменти оцінки виставкового досвіду, до новітніх робіт, що безпосередньо аналізують цифрові виставкові формати, онлайн-комунікацію музеїв, питання цифрової спадщини та діяльності культурних інституцій в умовах збройного конфлікту. Українська й зарубіжна література розглядаються при цьому як єдиний пласт, у якому національний матеріал осмислюється через спільний теоретичний апарат.</w:t>
      </w:r>
    </w:p>
    <w:p w14:paraId="359ED3AE" w14:textId="77777777" w:rsidR="009555D9" w:rsidRPr="00C04D43" w:rsidRDefault="00870BED" w:rsidP="00C04D43">
      <w:pPr>
        <w:spacing w:line="360" w:lineRule="auto"/>
        <w:ind w:firstLine="709"/>
        <w:jc w:val="both"/>
        <w:rPr>
          <w:lang w:val="uk-UA"/>
        </w:rPr>
      </w:pPr>
      <w:r>
        <w:rPr>
          <w:lang w:val="uk-UA"/>
        </w:rPr>
        <w:t xml:space="preserve">Вихідною точкою цієї традиції є праця Е. Гупер-Грінгіл «Museums and the Interpretation of Visual Culture» [46]. Спираючись на комунікативну теорію 1970-х років і класичну лінійну модель передачі знання, дослідниця описала так звану «педагогіку передачі» (pedagogy as transmission), за якою музей виступає носієм авторитетного знання, а відвідувач – його пасивним отримувачем, своєрідною «порожньою посудиною», яку належить наповнити [46, с. 124–137]. У цій моделі експозиція функціонує за принципом «від обізнаного до необізнаного». Принципово, однак, що Гупер-Грінгіл не обмежується описом цієї традиційної схеми, а протиставляє їй другу парадигму – «педагогіку культури» (pedagogy as culture) і пов’язане з нею </w:t>
      </w:r>
      <w:r>
        <w:rPr>
          <w:lang w:val="uk-UA"/>
        </w:rPr>
        <w:lastRenderedPageBreak/>
        <w:t>поняття «постмузею» (post-museum), у якому комунікація розуміється не як одностороння передача готового знання, а як частина культурного процесу, що передбачає активну інтерпретацію з боку аудиторії та діалог між інституцією і відвідувачем.</w:t>
      </w:r>
    </w:p>
    <w:p w14:paraId="292B93FA" w14:textId="77777777" w:rsidR="009555D9" w:rsidRPr="00C04D43" w:rsidRDefault="00870BED" w:rsidP="00C04D43">
      <w:pPr>
        <w:spacing w:line="360" w:lineRule="auto"/>
        <w:ind w:firstLine="709"/>
        <w:jc w:val="both"/>
        <w:rPr>
          <w:lang w:val="uk-UA"/>
        </w:rPr>
      </w:pPr>
      <w:r>
        <w:rPr>
          <w:lang w:val="uk-UA"/>
        </w:rPr>
        <w:t>Значення цієї роботи полягає не лише в описі традиційної моделі, а й у її критиці: Гупер-Грінгіл показала, що лінійна схема «музей формулює – відвідувач засвоює» не враховує активної ролі сприймаючого суб’єкта. Саме опозиція двох парадигм – трансмісійної та діалогової – задає теоретичну вісь, відносно якої згодом осмислюються нові, зокрема цифрові, виставкові стратегії. З погляду теми дослідження слабкою стороною підходу є те, що він сформувався до масового впровадження цифрових інструментів і не розглядає, як саме технологія змінює природу переданого знання. Проте саме ця праця залишається відправною для більшості подальших досліджень: концепція постмузею прямо передбачає той перехід від односпрямованої до діалогової комунікації, який згодом стане визначальним для аналізу цифрових і мережевих форматів. Цю лінію продовжує праця Р. Перрі «Recoding the Museum» [57], яка простежує перехід музею від аналогових до цифрових систем обліку й репрезентації та обґрунтовує поняття цифрового переходу як зміни не лише інструментарію, а й самої інституційної логіки роботи з колекцією.</w:t>
      </w:r>
    </w:p>
    <w:p w14:paraId="07D8A887" w14:textId="77777777" w:rsidR="009555D9" w:rsidRPr="00C04D43" w:rsidRDefault="00870BED" w:rsidP="00C04D43">
      <w:pPr>
        <w:spacing w:line="360" w:lineRule="auto"/>
        <w:ind w:firstLine="709"/>
        <w:jc w:val="both"/>
        <w:rPr>
          <w:lang w:val="uk-UA"/>
        </w:rPr>
      </w:pPr>
      <w:r>
        <w:rPr>
          <w:lang w:val="uk-UA"/>
        </w:rPr>
        <w:t xml:space="preserve">Наступний етап пов’язаний із перенесенням до музейного контексту концепцій навчання і користувацького досвіду. Е. Сіція у статті «The Many Faces of Knowledge Production in Art Museums» [65] контекстуалізувала для художнього музею чотири моделі навчання Дж. Гайна – дидактично-експозиційну, відкриття (discovery), стимул-реакцію та конструктивістську, – показавши, що конкретна виставкова стратегія визначає тип знання, яке виробляє відвідувач [65, с. 152]. У цій рамці протиставлення експозицій, зосереджених на об’єкті, та експозицій, зосереджених на досвіді відвідувача, стає робочим критерієм оцінки виставкових моделей. Внесок дослідниці полягає у зміщенні аналітичного фокуса з експоната на досвід відвідувача. У </w:t>
      </w:r>
      <w:r>
        <w:rPr>
          <w:lang w:val="uk-UA"/>
        </w:rPr>
        <w:lastRenderedPageBreak/>
        <w:t>пізнішій праці [64] вона застосувала етнографічне спостереження до конкретної експозиції, зафіксувавши розрив між кураторським задумом і реальною поведінкою відвідувача. Сильна сторона цих робіт – методологічна: Сіція показала, що виставкову ефективність потрібно перевіряти емпірично, а не постулювати. Обмеження її підходу в тому, що цифрові технології розглядаються радше як один із можливих засобів, а не як самостійний предмет аналізу.</w:t>
      </w:r>
    </w:p>
    <w:p w14:paraId="1DC5FA31" w14:textId="77777777" w:rsidR="009555D9" w:rsidRPr="00C04D43" w:rsidRDefault="00870BED" w:rsidP="00C04D43">
      <w:pPr>
        <w:spacing w:line="360" w:lineRule="auto"/>
        <w:ind w:firstLine="709"/>
        <w:jc w:val="both"/>
        <w:rPr>
          <w:lang w:val="uk-UA"/>
        </w:rPr>
      </w:pPr>
      <w:r>
        <w:rPr>
          <w:lang w:val="uk-UA"/>
        </w:rPr>
        <w:t>Окремий напрям становить розробка вимірюваних моделей відвідувацького досвіду. Е. Кінг, М. П. Сміт, П. Ф. Вілсон та співавтори [48] запропонували модель MEUX (Museum Exhibition User Experience), адаптувавши концепцію користувацького досвіду М. Гассенцаля до музейного середовища. Вони виділили прагматичний (наскільки ефективно виставка передає свій наратив – чи зрозумілий зміст, чи доступна інтерпретація) і гедоністичний (якість самого переживання – емоційний слід, запам’ятовуваність, відчуття виходу за межі буденного) виміри взаємодії з виставкою [48, с. 66–67]. На матеріалі одного музею – Оксфордського університетського музею природничої історії – автори зафіксували статистично значущі розбіжності між тим, навіщо, на думку фахівців, відвідувачі приходять на виставку, і тим, що відвідувачі називають самі [48, с. 74–75]. Важливо, що ці розбіжності виявилися різноспрямованими, а самі автори трактують отриманий результат як показовий (indicative), а не остаточний, наголошуючи на потребі подальшої перевірки на ширшій вибірці. Цінність цієї праці для теми подвійна: вона дає аналітичний інструмент для оцінки будь-якого виставкового рішення, зокрема цифрового, і документує конкретний, до того ж двосторонній, розрив між інституційним задумом і досвідом аудиторії. Слабким місцем залишається те, що сама модель розроблялася не на цифровому матеріалі, тому її застосування до VR чи AR потребує додаткового обґрунтування.</w:t>
      </w:r>
    </w:p>
    <w:p w14:paraId="4F1BF7A7" w14:textId="77777777" w:rsidR="009555D9" w:rsidRPr="00C04D43" w:rsidRDefault="00870BED" w:rsidP="00C04D43">
      <w:pPr>
        <w:spacing w:line="360" w:lineRule="auto"/>
        <w:ind w:firstLine="709"/>
        <w:jc w:val="both"/>
        <w:rPr>
          <w:lang w:val="uk-UA"/>
        </w:rPr>
      </w:pPr>
      <w:r>
        <w:rPr>
          <w:lang w:val="uk-UA"/>
        </w:rPr>
        <w:t xml:space="preserve">Найновіший і найбільш безпосередньо дотичний до теми пласт – систематичні огляди та емпіричні дослідження цифрової трансформації </w:t>
      </w:r>
      <w:r>
        <w:rPr>
          <w:lang w:val="uk-UA"/>
        </w:rPr>
        <w:lastRenderedPageBreak/>
        <w:t>музеїв. Дж. Лі, С. Чжен, І. Ватанабе та Ю. Очіаі [50] здійснили систематичний огляд технологій цифрової трансформації у музейній виставковій діяльності, упорядкувавши розрізнені дослідження віртуальної та доповненої реальності, цифрової реставрації, гігапіксельної візуалізації та рекомендаційних систем, і наголосили, що ефективність цифрового рішення визначається балансом між технологією і репрезентаційною метою [50, с. 11]. Це найповніше узагальнення наявного знання, проте сам жанр огляду означає, що автори фіксують стан поля, а не пропонують власну інтерпретацію конкретних кейсів. К.-Л. Лін, С.-Дж. Чень та Р. Лін [51] додали до цього експериментальну складову, порівнявши сприйняття живопису у фізичному, цифровому та VR-форматах; обмеженням їхньої роботи є лабораторна вибірка зі студентів, що не повною мірою відтворює мотивацію реальної музейної аудиторії, на що звертають увагу й самі автори.</w:t>
      </w:r>
    </w:p>
    <w:p w14:paraId="7EF890F0" w14:textId="77777777" w:rsidR="009555D9" w:rsidRPr="00C04D43" w:rsidRDefault="00870BED" w:rsidP="00C04D43">
      <w:pPr>
        <w:spacing w:line="360" w:lineRule="auto"/>
        <w:ind w:firstLine="709"/>
        <w:jc w:val="both"/>
        <w:rPr>
          <w:lang w:val="uk-UA"/>
        </w:rPr>
      </w:pPr>
      <w:r>
        <w:rPr>
          <w:lang w:val="uk-UA"/>
        </w:rPr>
        <w:t xml:space="preserve">Проблемний бік цифровізації розроблений у працях, що зосереджуються на її структурних межах. П. Ніколау [55] описав системні ризики – швидке застарівання форматів, несумісність програмного забезпечення, ресурсоємність підтримки інфраструктури та явище «технологічного занедбання» (technological abandonment), коли створені колись цифрові продукти лишаються без подальшого супроводу [55, с. 1789–1794]. Е. Дригальська [41] на матеріалі Музею Фридерика Шопена у Варшаві емпірично показала, що надмірна насиченість експозиції сенсорними станціями фрагментує сприйняття замість того, щоб його поглиблювати. Я. Крісті [37] вписав цю проблематику в ширший контекст, охарактеризувавши постмодерний музей як поєднання просвітницького меморіалу і тематичного парку. Е. Бертаккіні та Ф. Морандо [36] дослідили моделі відкритого доступу до цифрових колекцій і зафіксували, що цифровий досвід сприймається аудиторією як доповнення до фізичного відвідування, а не його заміна. Магістерське дослідження Е. Хаммаргрена на прикладі Тейт Модерн [45] і програмний текст Дж. Стека [68] дали детальний аналіз цифрової стратегії великого музею, виявивши розходження між задекларованою інтерактивністю </w:t>
      </w:r>
      <w:r>
        <w:rPr>
          <w:lang w:val="uk-UA"/>
        </w:rPr>
        <w:lastRenderedPageBreak/>
        <w:t>і реальним рівнем залучення відвідувача. У сукупності цей критичний напрям застерігає від технологічного оптимізму й вимагає оцінювати цифрові рішення за критерієм реальної якості досвіду, а не самого факту впровадження інновації.</w:t>
      </w:r>
    </w:p>
    <w:p w14:paraId="20DD4E23" w14:textId="77777777" w:rsidR="009555D9" w:rsidRPr="00C04D43" w:rsidRDefault="00870BED" w:rsidP="00C04D43">
      <w:pPr>
        <w:spacing w:line="360" w:lineRule="auto"/>
        <w:ind w:firstLine="709"/>
        <w:jc w:val="both"/>
        <w:rPr>
          <w:lang w:val="uk-UA"/>
        </w:rPr>
      </w:pPr>
      <w:r>
        <w:rPr>
          <w:lang w:val="uk-UA"/>
        </w:rPr>
        <w:t>Питання функціонування музеїв під час збройного конфлікту і в умовах постконфліктного відновлення культурної спадщини посідає особливе місце в музеологічній думці й набуває конкретного виміру для України, де від початку повномасштабного вторгнення 2022 року культурні установи опинилися перед системними викликами: евакуацією фондів, тимчасовим закриттям або перепрофілюванням, пошкодженнями чи знищенням музейних будівель, а також нагальною потребою зберегти доступ до культурної спадщини для громадян. Осмислення цього досвіду представлене насамперед оглядовою довідкою Г. Іванченко «Музеї під час війни: виклики та потреба оновлення» [12], яка, спираючись на дані Міністерства культури та інформаційної політики України, фіксує масштаб руйнувань об’єктів культурної спадщини станом на 2024 рік і документує зміну сприйняття безпеки музейного простору після ракетних ударів, зокрема наслідки удару по Києву 10 жовтня 2022 року для Музею Ханенків. Ця праця дає первинне свідчення зсуву мотивації від загальної ідеї оцифрування до відповіді на конкретну загрозу: у таких умовах цифровізація фондів набуває статусу не лише інструмента залучення аудиторії, а й невідкладного засобу документування та збереження спадщини, що перебуває під загрозою фізичного знищення. Саме цей надзвичайний контекст вирізняє українську ситуацію на тлі міжнародного досвіду.</w:t>
      </w:r>
    </w:p>
    <w:p w14:paraId="650B4D6F" w14:textId="77777777" w:rsidR="003D0C89" w:rsidRPr="00C04D43" w:rsidRDefault="00870BED" w:rsidP="00C04D43">
      <w:pPr>
        <w:spacing w:line="360" w:lineRule="auto"/>
        <w:ind w:firstLine="709"/>
        <w:jc w:val="both"/>
        <w:rPr>
          <w:lang w:val="uk-UA"/>
        </w:rPr>
      </w:pPr>
      <w:r>
        <w:rPr>
          <w:lang w:val="uk-UA"/>
        </w:rPr>
        <w:t xml:space="preserve">Українська наукова думка з питань цифровізації музеїв перебуває на етапі активного формування і представлена кількома взаємодоповнювальними напрямами. Найраніший пласт становлять праці, що ставили питання цифрового переходу ще до криз 2020-х років: Н. Панас [22] описала інструментарій цифрової роботи музею і пам’яткоохоронної сфери, закріпивши потребу системного переходу як проблему, що визріла, але не отримала інституційної відповіді; оглядові студії В. Банаха [3] та О. Сизон [30] </w:t>
      </w:r>
      <w:r>
        <w:rPr>
          <w:lang w:val="uk-UA"/>
        </w:rPr>
        <w:lastRenderedPageBreak/>
        <w:t>окреслили типологію інноваційних і віртуальних музеїв, задавши тло, на якому пізніші дослідники розглядають цифрову виставкову присутність. Реакцію музеїв на пандемію зафіксувала теза Г. Андрес [1]. Другий, найрозвиненіший напрям – аналіз цифрової трансформації крізь призму державного управління: Л. Антонова і С. Гололобов [2] дають системний огляд викликів – брак ІТ-компетенцій, асиметрія між столичними і регіональними закладами, залежність від зовнішніх ініціатив. В. Орищук [21] зосереджується на структурних стримувачах – відсутності систематизованої політики щодо цифрових архівів і невирішеному питанні підтримки платформ після завершення грантового фінансування. Правовий вимір цифрового обліку найповніше опрацьовано В. Парадиз і Н. Ковальчук [24], які станом на 2024 рік зафіксували втрату чинності порядку обліку музейних предметів в електронній формі без системної заміни і сформулювали критерії пріоритетності оцифрування; нормативну рамку доповнює навчальний посібник О. Гайдай «Музеєзнавство» [5]. Зафіксована цими дослідниками прогалина значною мірою була усунена наприкінці 2025 року: постановою Кабінету Міністрів України № 1389 від 29 жовтня 2025 року запроваджено дворічний експериментальний проєкт Реєстру Музейного фонду України – електронної системи обліку, інвентаризації, переміщення та розшуку музейних предметів державної частини фонду, у якій електронний облік ведеться одночасно з паперовим за чинною Інструкцією № 580 [27]. Емпіричний вимір цифрової готовності українських музеїв опрацьовано в новітніх працях: А. Шинкарук і Т. Самсонюк [34] на матеріалі 22 музеїв – учасників ініціативи Memory Savers зафіксували значний розкид рівнів цифрової присутності, а О. Гомотюк, М. Кармаз і Т. Лебідь [6] документують нерівномірність охоплення, за якої регіональні музеї залишаються поза публічним цифровим простором через дефіцит ресурсів.</w:t>
      </w:r>
    </w:p>
    <w:p w14:paraId="7DA6886B" w14:textId="77777777" w:rsidR="009555D9" w:rsidRPr="00C04D43" w:rsidRDefault="00870BED" w:rsidP="00C04D43">
      <w:pPr>
        <w:spacing w:line="360" w:lineRule="auto"/>
        <w:ind w:firstLine="709"/>
        <w:jc w:val="both"/>
        <w:rPr>
          <w:lang w:val="uk-UA"/>
        </w:rPr>
      </w:pPr>
      <w:r>
        <w:rPr>
          <w:lang w:val="uk-UA"/>
        </w:rPr>
        <w:t xml:space="preserve">Найближчою за проблематикою до теми цього дослідження є стаття М. Дуброви «Соціокультурна роль діджиталізованих музеїв» [10]. Спираючись на концепцію «виробництва присутності» Г. У. Гумбрехта і поняття симулякра </w:t>
      </w:r>
      <w:r>
        <w:rPr>
          <w:lang w:val="uk-UA"/>
        </w:rPr>
        <w:lastRenderedPageBreak/>
        <w:t>Ж. Бодріяра, авторка фіксує ризик відчуження відвідувача від глибокого розуміння цінності експозиції і наполягає, що цифровізація має лишатися осмисленим, а не самоцільним процесом. Праця Дуброви окреслює теоретичну рамку, проте не доходить до аналізу конкретних цифрових форматів в українських інституціях і не розглядає їхнє функціонування в умовах воєнного часу. Зіставлення українських напрямів дає змогу точніше схарактеризувати стан вітчизняного поля: наукова думка розвивається переважно в межах державного управління, культурології та музейної практики і поки що не виходить на рівень мистецтвознавчого аналізу конкретних цифрових виставкових форматів за вимірюваними критеріями відвідувацького досвіду. Наявні праці фіксують практику й тренди або теоретичну рамку, але не пропонують аналітичної оцінки виставкового досвіду, зіставної з міжнародними моделями на кшталт MEUX. Окремо слід зазначити, що конкретні документаційні ініціативи воєнного часу (зокрема діяльність Ukrainian Heritage Monitoring Lab) висвітлені поки що лише у фаховій періодиці інформаційно-аналітичного характеру [33], а не в академічних студіях, що обмежує можливість критичної перевірки наведених даних і вимагає обережного поводження з ними.</w:t>
      </w:r>
    </w:p>
    <w:p w14:paraId="78CC5CB1" w14:textId="77777777" w:rsidR="009555D9" w:rsidRPr="00C04D43" w:rsidRDefault="00870BED" w:rsidP="00C04D43">
      <w:pPr>
        <w:spacing w:line="360" w:lineRule="auto"/>
        <w:ind w:firstLine="709"/>
        <w:jc w:val="both"/>
        <w:rPr>
          <w:lang w:val="uk-UA"/>
        </w:rPr>
      </w:pPr>
      <w:r>
        <w:rPr>
          <w:lang w:val="uk-UA"/>
        </w:rPr>
        <w:t>Аналіз сукупності наявної літератури дозволяє окреслити дві відмінні за природою наукові прогалини, поєднання яких обґрунтовує актуальність цього дослідження. По-перше, попри розвиненість зарубіжного теоретичного апарату – моделі MEUX [48], типології навчальних моделей у Сіції [65], систематичного огляду Лі та співавторів [50] – і наявність документованих міжнародних кейсів, в українському мистецтвознавстві відсутній аналіз, що поєднував би оцінку міжнародних кейсів через вимірювані критерії відвідувацького досвіду з осмисленням специфіки українського музейного середовища, зокрема в його нинішньому воєнному та постконфліктному контексті; це прогалина вітчизняного поля. Дослідження пропонує застосувати міжнародний вимірюваний інструментарій оцінки виставкового досвіду до української проблематики.</w:t>
      </w:r>
    </w:p>
    <w:p w14:paraId="530CDAD3" w14:textId="77777777" w:rsidR="00135B88" w:rsidRPr="00C04D43" w:rsidRDefault="00F4635C" w:rsidP="00C04D43">
      <w:pPr>
        <w:pStyle w:val="2"/>
        <w:spacing w:after="0"/>
        <w:ind w:firstLine="705"/>
        <w:rPr>
          <w:lang w:val="uk-UA"/>
        </w:rPr>
      </w:pPr>
      <w:bookmarkStart w:id="7" w:name="_Toc231668459"/>
      <w:r>
        <w:rPr>
          <w:lang w:val="uk-UA"/>
        </w:rPr>
        <w:lastRenderedPageBreak/>
        <w:t>1.2. Джерельна база дослідження</w:t>
      </w:r>
      <w:bookmarkEnd w:id="7"/>
    </w:p>
    <w:p w14:paraId="2F33B97A" w14:textId="77777777" w:rsidR="009555D9" w:rsidRPr="00C04D43" w:rsidRDefault="00870BED" w:rsidP="00C04D43">
      <w:pPr>
        <w:spacing w:line="360" w:lineRule="auto"/>
        <w:ind w:firstLine="709"/>
        <w:jc w:val="both"/>
        <w:rPr>
          <w:lang w:val="uk-UA"/>
        </w:rPr>
      </w:pPr>
      <w:r>
        <w:rPr>
          <w:lang w:val="uk-UA"/>
        </w:rPr>
        <w:t>Джерельна база дослідження сформована з кількох груп матеріалів, що у сукупності забезпечують її достатність і репрезентативність для вирішення поставлених завдань.</w:t>
      </w:r>
    </w:p>
    <w:p w14:paraId="6E5F5B94" w14:textId="77777777" w:rsidR="009555D9" w:rsidRPr="00C04D43" w:rsidRDefault="00870BED" w:rsidP="00C04D43">
      <w:pPr>
        <w:spacing w:line="360" w:lineRule="auto"/>
        <w:ind w:firstLine="709"/>
        <w:jc w:val="both"/>
        <w:rPr>
          <w:lang w:val="uk-UA"/>
        </w:rPr>
      </w:pPr>
      <w:r>
        <w:rPr>
          <w:lang w:val="uk-UA"/>
        </w:rPr>
        <w:t>Першу і основну групу становить наукова та фахова література. До неї входять узагальнювальні праці, що дають теоретичний апарат, насамперед дослідження Е. Гупер-Грінгіл про інтерпретацію візуальної культури в музеї [46] і праця Р. Перрі про цифровий перехід музею [57]. Фахові статті у профільних періодичних виданнях представлені публікацією Е. Кінг та співавторів про модель MEUX [48], систематичним оглядом Дж. Лі та співавторів [50], статтями Е. Сіції [65; 63], експериментальним дослідженням К.-Л. Ліна та співавторів [51], а також працями Е. Бертаккіні та Ф. Морандо [36], Е. Дригальської [41], П. Ніколау [55] та Я. Крісті [37]. До цієї ж групи належать магістерське дослідження Е. Хаммаргрена про Тейт Модерн [45] і програмний текст цифрової стратегії Тейт авторства Дж. Стека [68]. Українську фахову науку з теми представляють статті М. Дуброви [10], Л. Антонової і С. Гололобова [2], В. Орищука [21], В. Парадиз і Н. Ковальчук [24], А. Шинкарук і Т. Самсонюк [34], О. Гомотюк, М. Кармаз і Т. Лебідь [6], Н. Панас [22], В. Банаха [3], О. Сизон [30], теза Г. Андрес [1], навчальний посібник О. Гайдай [5], оглядова довідка Г. Іванченко [12], а також публікація про досвід Ukrainian Heritage Monitoring Lab у журналі НБУВ [33] – із застереженням про необхідність долучення першоджерела для верифікації. Ця група забезпечує теоретичний і методологічний апарат дослідження – від концептуальних рамок музейної комунікації до вимірюваних моделей оцінки виставкового досвіду – і водночас окреслює стан українського наукового поля.</w:t>
      </w:r>
    </w:p>
    <w:p w14:paraId="5B4929EF" w14:textId="77777777" w:rsidR="009555D9" w:rsidRPr="00C04D43" w:rsidRDefault="00870BED" w:rsidP="00C04D43">
      <w:pPr>
        <w:spacing w:line="360" w:lineRule="auto"/>
        <w:ind w:firstLine="709"/>
        <w:jc w:val="both"/>
        <w:rPr>
          <w:lang w:val="uk-UA"/>
        </w:rPr>
      </w:pPr>
      <w:r>
        <w:rPr>
          <w:lang w:val="uk-UA"/>
        </w:rPr>
        <w:t xml:space="preserve">Другу групу формують нормативно-правові акти, що регулюють музейний облік і захист спадщини: Закон України «Про музеї та музейну справу» [11]; Положення про Музейний фонд України [25]; наказ Міністерства культури України № 943 від 05.11.2014 про облік державної частини Музейного фонду [26]. До міжнародно-правового блоку належать Гаазька </w:t>
      </w:r>
      <w:r>
        <w:rPr>
          <w:lang w:val="uk-UA"/>
        </w:rPr>
        <w:lastRenderedPageBreak/>
        <w:t>конвенція про захист культурних цінностей у разі збройного конфлікту [44] і Хартія ЮНЕСКО про збереження цифрової спадщини [73], що безпосередньо стосується збереження культурних об’єктів у цифровій формі. Функція цієї групи – зафіксувати правову рамку, що визначає, які форми цифрового обліку є чинними і яких юридичних умов вимагає документація в умовах конфлікту.</w:t>
      </w:r>
    </w:p>
    <w:p w14:paraId="20DAA8B1" w14:textId="77777777" w:rsidR="002E4F8E" w:rsidRPr="00C04D43" w:rsidRDefault="00870BED" w:rsidP="00C04D43">
      <w:pPr>
        <w:spacing w:line="360" w:lineRule="auto"/>
        <w:ind w:firstLine="709"/>
        <w:jc w:val="both"/>
        <w:rPr>
          <w:lang w:val="uk-UA"/>
        </w:rPr>
      </w:pPr>
      <w:r>
        <w:rPr>
          <w:lang w:val="uk-UA"/>
        </w:rPr>
        <w:t>Третю групу утворюють цифрові продукти, платформи та офіційні музейні ресурси, що є одночасно джерелом даних і безпосереднім предметом аналізу. У міжнародній частині це цифрові проєкти, збудовані навколо знакових творів, і породжені ними візуальні матеріали: VR-досвід Лувру «Mona Lisa: Beyond the Glass» і офіційні матеріали музею про нього; реставраційно-дослідницький проєкт Operation Night Watch у Rijksmuseum разом із гігапіксельними зображеннями «Нічної варти»; сторінка відкритого доступу Rijksstudio; цифрова архітектура колекції Tate; офіційний ресурс teamLab Planets у Токіо, який свідомо розглядається не як музей у строгому інституційному значенні, а як межовий приклад виставкової логіки, побудованої без матеріального об'єкта з колекції. В українській частині цю групу формують офіційні сайти і віртуальні 3D-тури Музею Ханенків; платформа єМузей із 3D-відтворенням залів НХМУ і реконструкцією виставки 1925 року; український простір на Google Arts &amp; Culture у межах проєкту «Україна поруч»; офіційний портал Реєстру Музейного фонду України як приклад облікової, а не виставкової цифрової системи; ресурси документаційних ініціатив – SUCHO, Skeiron і Ukrainian Heritage Monitoring Lab. Окремо до цієї групи віднесено стандарт CIDOC CRM [38] як технічну й методичну засаду документації. Ця група джерел унікальна тим, що цифрові об'єкти самі по собі становлять нову форму виставкового висловлювання, оцінка якого є одним із завдань дослідження.</w:t>
      </w:r>
    </w:p>
    <w:p w14:paraId="7F86533B" w14:textId="77777777" w:rsidR="009555D9" w:rsidRPr="00C04D43" w:rsidRDefault="00870BED" w:rsidP="00C04D43">
      <w:pPr>
        <w:spacing w:line="360" w:lineRule="auto"/>
        <w:ind w:firstLine="709"/>
        <w:jc w:val="both"/>
        <w:rPr>
          <w:lang w:val="uk-UA"/>
        </w:rPr>
      </w:pPr>
      <w:r>
        <w:rPr>
          <w:lang w:val="uk-UA"/>
        </w:rPr>
        <w:t xml:space="preserve">Четверту групу становлять електронні ресурси, новинні та аналітичні публікації, що документують перебіг подій. Документування міжнародних кейсів спирається на спеціалізовані видання про мистецтво і культурні індустрії – Artnet News, Jing Culture and Commerce, Smithsonian Magazine. </w:t>
      </w:r>
      <w:r>
        <w:rPr>
          <w:lang w:val="uk-UA"/>
        </w:rPr>
        <w:lastRenderedPageBreak/>
        <w:t xml:space="preserve">Документування українських кейсів спирається на профільні й новинні видання, що зафіксували перебіг подій 2022–2026 років: «Суспільне Культура» і «Суспільне Медіа», LB.ua, Forbes.ua, «Главком», «Українська правда», «Інтерфакс-Україна», «Факти ICTV», The Village Україна, Bazilik Media, Імена.ua, офіційний блог Google Україна, публікації МКІП України, а також міжнародні видання – Associated Press, Euromaidan Press, Euronews, The Art Newspaper, матеріали ЮНЕСКО і Ради Європи та рецензію в «Reviews in Digital Humanities» про SUCHO. Функція групи – зафіксувати інституційні рішення, цифрові показники і прямі свідчення учасників. </w:t>
      </w:r>
    </w:p>
    <w:p w14:paraId="5F3402D5" w14:textId="77777777" w:rsidR="002E4F8E" w:rsidRPr="00C04D43" w:rsidRDefault="00870BED" w:rsidP="00C04D43">
      <w:pPr>
        <w:spacing w:line="360" w:lineRule="auto"/>
        <w:ind w:firstLine="709"/>
        <w:jc w:val="both"/>
        <w:rPr>
          <w:lang w:val="uk-UA"/>
        </w:rPr>
      </w:pPr>
      <w:r>
        <w:rPr>
          <w:lang w:val="uk-UA"/>
        </w:rPr>
        <w:t xml:space="preserve">Архівні матеріали у вузькому значенні цього терміна в роботі не залучалися, оскільки предмет дослідження – сучасні цифрові виставкові практики, документація яких має переважно публічний електронний характер. Роль первинних документів виконують офіційні інституційні публікації музеїв, що фіксують перебіг і результати проаналізованих проєктів у форматі, достатньому для академічного верифікування висновків. </w:t>
      </w:r>
    </w:p>
    <w:p w14:paraId="695D7DB8" w14:textId="77777777" w:rsidR="009555D9" w:rsidRPr="00C04D43" w:rsidRDefault="00870BED" w:rsidP="00C04D43">
      <w:pPr>
        <w:spacing w:line="360" w:lineRule="auto"/>
        <w:ind w:firstLine="709"/>
        <w:jc w:val="both"/>
        <w:rPr>
          <w:lang w:val="uk-UA"/>
        </w:rPr>
      </w:pPr>
      <w:r>
        <w:rPr>
          <w:lang w:val="uk-UA"/>
        </w:rPr>
        <w:t>У сукупності джерельна база поєднує теоретичні праці, що дають аналітичний апарат; емпіричні дослідження з вимірюваними даними; нормативні акти, що окреслюють правову рамку; інституційну документацію конкретних кейсів і безпосередньо цифрові продукти виставкових проєктів. Така структура достатня для зіставлення міжнародного й українського досвіду за єдиними критеріями і репрезентативна щодо основних типів цифрових виставкових стратегій – імерсивного формату, цифрової медіації колекції, документації як умови майбутньої репрезентації та проблемного поля цифровізації. Межі бази – переважання управлінського й культурологічного ракурсу в українській літературі та залежність частини фактичного матеріалу від нестабільних онлайн-джерел – усвідомлені й враховані в аналізі та не перешкоджають виконанню завдань роботи.</w:t>
      </w:r>
    </w:p>
    <w:p w14:paraId="42ACDB9A" w14:textId="77777777" w:rsidR="00135B88" w:rsidRPr="00C04D43" w:rsidRDefault="00F4635C" w:rsidP="00C04D43">
      <w:pPr>
        <w:pStyle w:val="2"/>
        <w:spacing w:before="240" w:after="0"/>
        <w:jc w:val="center"/>
        <w:rPr>
          <w:lang w:val="uk-UA"/>
        </w:rPr>
      </w:pPr>
      <w:bookmarkStart w:id="8" w:name="_Toc231668461"/>
      <w:r>
        <w:rPr>
          <w:i/>
          <w:iCs/>
          <w:lang w:val="uk-UA"/>
        </w:rPr>
        <w:t>Висновки до розділу 1</w:t>
      </w:r>
      <w:bookmarkEnd w:id="8"/>
    </w:p>
    <w:p w14:paraId="7C718207" w14:textId="77777777" w:rsidR="009555D9" w:rsidRPr="00C04D43" w:rsidRDefault="00870BED" w:rsidP="00C04D43">
      <w:pPr>
        <w:spacing w:line="360" w:lineRule="auto"/>
        <w:ind w:firstLine="709"/>
        <w:jc w:val="both"/>
        <w:rPr>
          <w:lang w:val="uk-UA"/>
        </w:rPr>
      </w:pPr>
      <w:r>
        <w:rPr>
          <w:lang w:val="uk-UA"/>
        </w:rPr>
        <w:t xml:space="preserve">Проведений огляд засвідчує, що дослідження цифрових технологій у виставковій діяльності музеїв спирається на сформований за останні два </w:t>
      </w:r>
      <w:r>
        <w:rPr>
          <w:lang w:val="uk-UA"/>
        </w:rPr>
        <w:lastRenderedPageBreak/>
        <w:t>десятиліття теоретичний апарат, який розвивався нерівномірно і водночас залишає суттєві прогалини щодо вітчизняного виміру теми.</w:t>
      </w:r>
    </w:p>
    <w:p w14:paraId="299633A4" w14:textId="77777777" w:rsidR="009555D9" w:rsidRPr="00C04D43" w:rsidRDefault="00870BED" w:rsidP="00C04D43">
      <w:pPr>
        <w:spacing w:line="360" w:lineRule="auto"/>
        <w:ind w:firstLine="709"/>
        <w:jc w:val="both"/>
        <w:rPr>
          <w:lang w:val="uk-UA"/>
        </w:rPr>
      </w:pPr>
      <w:r>
        <w:rPr>
          <w:lang w:val="uk-UA"/>
        </w:rPr>
        <w:t>Встановлено, що вихідною є традиція осмислення музейної комунікації, започаткована Гупер-Грінгіл, яка протиставила «педагогіку передачі» «педагогіці культури» й концепції постмузею, обґрунтувавши перехід від односпрямованої до діалогової взаємодії з аудиторією. Від цієї опозиції через концепцію цифрового переходу Перрі, типологію навчальних моделей у Сіції та вимірювану модель MEUX Кінг і співавторів наукова думка прийшла до систематичного узагальнення цифрових технологій в огляді Лі та співавторів. Визначено, що паралельно сформувався критичний напрям, представлений працями Ніколау, Дригальської, Крісті, а також Хаммаргрена і Стека, який фіксує структурні межі й ризики цифровізації – від технологічного занедбання до розриву між задекларованою та реальною інтерактивністю – і застерігає від її некритичного впровадження.</w:t>
      </w:r>
    </w:p>
    <w:p w14:paraId="0247E00A" w14:textId="77777777" w:rsidR="009555D9" w:rsidRPr="00C04D43" w:rsidRDefault="00870BED" w:rsidP="00C04D43">
      <w:pPr>
        <w:spacing w:line="360" w:lineRule="auto"/>
        <w:ind w:firstLine="709"/>
        <w:jc w:val="both"/>
        <w:rPr>
          <w:lang w:val="uk-UA"/>
        </w:rPr>
      </w:pPr>
      <w:r>
        <w:rPr>
          <w:lang w:val="uk-UA"/>
        </w:rPr>
        <w:t xml:space="preserve">Питання цифрового функціонування музеїв в умовах збройного конфлікту набуває для України не теоретичного, а невідкладного практичного характеру. З’ясовано, що українське наукове поле, попри активне формування, розгортається переважно в межах державного управління, культурології та музейної практики </w:t>
      </w:r>
      <w:r>
        <w:rPr>
          <w:lang w:val="uk-UA"/>
        </w:rPr>
        <w:softHyphen/>
        <w:t>– Панас, Банах, Сизон, Антонова і Гололобов, Орищук, Парадиз і Ковальчук, Шинкарук і Самсонюк, Гомотюк зі співавторами, Дуброва –  і поки що не виходить на рівень мистецтвознавчого аналізу конкретних цифрових форматів за вимірюваними критеріями відвідувацького досвіду. Окремо встановлено, що конкретні документаційні ініціативи воєнного часу документовані переважно в новинній і фаховій інформаційно-аналітичній періодиці, а не в академічних студіях, що вимагає обережного поводження з наведеними в них даними.</w:t>
      </w:r>
    </w:p>
    <w:p w14:paraId="1A6AA1B9" w14:textId="77777777" w:rsidR="009555D9" w:rsidRPr="00C04D43" w:rsidRDefault="00870BED" w:rsidP="00C04D43">
      <w:pPr>
        <w:spacing w:line="360" w:lineRule="auto"/>
        <w:ind w:firstLine="709"/>
        <w:jc w:val="both"/>
        <w:rPr>
          <w:lang w:val="uk-UA"/>
        </w:rPr>
      </w:pPr>
      <w:r>
        <w:rPr>
          <w:lang w:val="uk-UA"/>
        </w:rPr>
        <w:t xml:space="preserve">Систематизовано джерельну базу за чотирма групами – наукова та фахова література; нормативно-правові акти; цифрові продукти й офіційні музейні платформи; електронні, новинні та аналітичні публікації – і показано, </w:t>
      </w:r>
      <w:r>
        <w:rPr>
          <w:lang w:val="uk-UA"/>
        </w:rPr>
        <w:lastRenderedPageBreak/>
        <w:t>що у сукупності вона є достатньою й репрезентативною для зіставлення основних типів цифрових виставкових стратегій за єдиними критеріями.</w:t>
      </w:r>
    </w:p>
    <w:p w14:paraId="07CAF1A2" w14:textId="77777777" w:rsidR="009555D9" w:rsidRPr="00C04D43" w:rsidRDefault="00870BED" w:rsidP="00C04D43">
      <w:pPr>
        <w:spacing w:line="360" w:lineRule="auto"/>
        <w:ind w:firstLine="709"/>
        <w:jc w:val="both"/>
        <w:rPr>
          <w:lang w:val="uk-UA"/>
        </w:rPr>
      </w:pPr>
      <w:r>
        <w:rPr>
          <w:lang w:val="uk-UA"/>
        </w:rPr>
        <w:t>Саме на цьому перетині – браку системного мистецтвознавчого зіставлення міжнародного досвіду цифрової виставкової медіації з українською практикою, де цифровий ресурс набуває функцій збереження спадщини та інституційного виживання, – лежить простір для наукової новизни роботи. Окреслений теоретичний апарат і систематизована джерельна база створюють підставу для переходу до аналізу конкретних міжнародних кейсів у наступному розділі.</w:t>
      </w:r>
    </w:p>
    <w:p w14:paraId="0FA4798B" w14:textId="77777777" w:rsidR="00135B88" w:rsidRPr="00C04D43" w:rsidRDefault="00F4635C" w:rsidP="00C04D43">
      <w:pPr>
        <w:pStyle w:val="1"/>
        <w:pageBreakBefore/>
        <w:spacing w:after="0"/>
        <w:rPr>
          <w:lang w:val="uk-UA"/>
        </w:rPr>
      </w:pPr>
      <w:bookmarkStart w:id="9" w:name="_Toc231668462"/>
      <w:r>
        <w:rPr>
          <w:caps/>
          <w:lang w:val="uk-UA"/>
        </w:rPr>
        <w:lastRenderedPageBreak/>
        <w:t>Розділ 2. Цифрові технології у виставковій діяльності музеїв: міжнародний досвід</w:t>
      </w:r>
      <w:bookmarkEnd w:id="9"/>
    </w:p>
    <w:p w14:paraId="33D78AFC" w14:textId="77777777" w:rsidR="00135B88" w:rsidRPr="00C04D43" w:rsidRDefault="00F4635C" w:rsidP="00C04D43">
      <w:pPr>
        <w:pStyle w:val="2"/>
        <w:spacing w:after="0"/>
        <w:ind w:firstLine="705"/>
        <w:rPr>
          <w:lang w:val="uk-UA"/>
        </w:rPr>
      </w:pPr>
      <w:bookmarkStart w:id="10" w:name="_Toc231668463"/>
      <w:r>
        <w:rPr>
          <w:lang w:val="uk-UA"/>
        </w:rPr>
        <w:t>2.1. Імерсивні виставкові формати як спосіб розширення музейного досвіду</w:t>
      </w:r>
      <w:bookmarkEnd w:id="10"/>
    </w:p>
    <w:p w14:paraId="6EFBB5F1" w14:textId="77777777" w:rsidR="00135B88" w:rsidRPr="00C04D43" w:rsidRDefault="00F4635C" w:rsidP="00C04D43">
      <w:pPr>
        <w:spacing w:line="360" w:lineRule="auto"/>
        <w:ind w:firstLine="705"/>
        <w:jc w:val="both"/>
        <w:rPr>
          <w:lang w:val="uk-UA"/>
        </w:rPr>
      </w:pPr>
      <w:r>
        <w:rPr>
          <w:lang w:val="uk-UA"/>
        </w:rPr>
        <w:t>Варто одразу зазначити, що імерсивний виставковий формат не тотожний поняттю цифрової виставки. Ідеться про конкретну виставкову стратегію, за якою відвідувач переходить від позиції спостерігача до участі в просторовому і сенсорному середовищі. Технології можуть відрізнятися – від проєкцій до VR, від доповненої реальності до тактильних об'єктів, – але суть залишається однаковою: виставковий простір будується так, щоб відвідувач відчував безпосередній контакт із твором замість звичної дистанції. І те, як ця зміна дистанції впливає на комунікацію музею, є одним із важливих питань у дискусії про роль цифрових технологій у виставковій діяльності. Під виставковою діяльністю тут розуміється кураторська робота зі створення тимчасових і постійних експозицій, що поєднує добір і впорядкування артефактів із побудовою тематичного наративу і слугує ключовою ланкою між суспільством та його культурною, історичною й мистецькою спадщиною [50, с. 1].</w:t>
      </w:r>
    </w:p>
    <w:p w14:paraId="497FDAEE" w14:textId="77777777" w:rsidR="00135B88" w:rsidRPr="00C04D43" w:rsidRDefault="00F4635C" w:rsidP="00C04D43">
      <w:pPr>
        <w:spacing w:line="360" w:lineRule="auto"/>
        <w:ind w:firstLine="705"/>
        <w:jc w:val="both"/>
        <w:rPr>
          <w:lang w:val="uk-UA"/>
        </w:rPr>
      </w:pPr>
      <w:r>
        <w:rPr>
          <w:lang w:val="uk-UA"/>
        </w:rPr>
        <w:t xml:space="preserve">Оцінка цих форматів спирається на теоретичну рамку, схарактеризовану в підрозділі 1.1, насамперед на модель MEUX і два виміри виставкового досвіду – прагматичний (наскільки ефективно виставка передає наратив) і гедоністичний (якість самого переживання). Прагматичні якості формуються через компоненти, які автори MEUX позначають як Exhibition Features: зміст, спосіб подачі та взаємодію [48, с. 66]; показовим є приклад Сіції [64], де вступний настінний текст виставки «Connectivities» у MuCEM, розміщений у невидному куті, прочитали лише троє зі 132 спостережуваних відвідувачів [64, с. 164], – прагматичний вимір лишився нереалізованим навіть за якісного змісту. Гедоністичний вимір залежить від того, чи стала виставка подією для відвідувача [48, с. 67]; конструктивістська модель, що ставить відвідувача в роль активного учасника, найближча до одночасної реалізації обох вимірів </w:t>
      </w:r>
      <w:r>
        <w:rPr>
          <w:lang w:val="uk-UA"/>
        </w:rPr>
        <w:lastRenderedPageBreak/>
        <w:t>[65, с. 152]. Іммерсивний формат постає як одна з технологічних відповідей на цей запит: він пропонує безпосередню участь замість дистанційованого споглядання.</w:t>
      </w:r>
    </w:p>
    <w:p w14:paraId="48FECA61" w14:textId="77777777" w:rsidR="00135B88" w:rsidRPr="00C04D43" w:rsidRDefault="00F4635C" w:rsidP="00C04D43">
      <w:pPr>
        <w:spacing w:line="360" w:lineRule="auto"/>
        <w:ind w:firstLine="705"/>
        <w:jc w:val="both"/>
        <w:rPr>
          <w:lang w:val="uk-UA"/>
        </w:rPr>
      </w:pPr>
      <w:r>
        <w:rPr>
          <w:lang w:val="uk-UA"/>
        </w:rPr>
        <w:t>Дослідження розробників моделі MEUX виявило стійке розходження між музейним баченням і відвідувацьким досвідом. Музейні фахівці, як правило, акцентують на освітніх результатах як пріоритетних якостях взаємодії з виставкою, тоді як самі відвідувачі висувають на перший план відчуття добре проведеного часу, формування спогадів і можливість тимчасово вийти за межі повсякдення [48, с. 75]. Дані авторів ілюструють цей розрив конкретними числами: музейні співробітники поставили «зацікавленість у темі» на перше місце серед мотивів відвідування, тоді як відвідувачі відсунули «навчання» на третю позицію, надавши перевагу «приємній прогулянці» і «розвазі» [48, с. 75]. Аналогічний розрив зафіксовано щодо очікуваних результатів: персонал пріоритизував «розуміння концепції» і «залученість», тоді як відвідувачі найчастіше обирали «насолоду», «раціонально використаний час» та «спогади» [48, с. 74]. Іммерсивний формат може частково скорочувати цю відстань, оскільки звертається водночас до інформаційного і емоційного рівнів, хоча сам по собі він не є гарантією успішнішої комунікації.</w:t>
      </w:r>
    </w:p>
    <w:p w14:paraId="71A6D6FC" w14:textId="77777777" w:rsidR="00135B88" w:rsidRPr="00C04D43" w:rsidRDefault="00F4635C" w:rsidP="00C04D43">
      <w:pPr>
        <w:spacing w:line="360" w:lineRule="auto"/>
        <w:ind w:firstLine="705"/>
        <w:jc w:val="both"/>
        <w:rPr>
          <w:lang w:val="uk-UA"/>
        </w:rPr>
      </w:pPr>
      <w:r>
        <w:rPr>
          <w:lang w:val="uk-UA"/>
        </w:rPr>
        <w:t>У жовтні 2019 року Лувр відкрив ретроспективну виставку «Леонардо да Вінчі», приурочену до 500-річчя від смерті художника. Організатори зіткнулися з проблемою, яка добре ілюструє ширшу напругу між доступністю спадщини і її охороною. «Мона Ліза» – картина, до якої прямує переважна більшість відвідувачів музею, близько 9,6 млн осіб у 2019 році, до пандемії, не могла стати частиною головного виставкового ряду: куратори відкрито визнавали, що це зробило б виставку «практично невідвідуваною» через натовп [58]. Картина зберігається у Салоні дез Ета за куленепробивним склом і відгороджена бар'єром; умови, за яких справжній зоровий контакт із нею можливий лише для небагатьох.</w:t>
      </w:r>
    </w:p>
    <w:p w14:paraId="28926308" w14:textId="77777777" w:rsidR="00135B88" w:rsidRPr="00C04D43" w:rsidRDefault="00F4635C" w:rsidP="00C04D43">
      <w:pPr>
        <w:spacing w:line="360" w:lineRule="auto"/>
        <w:ind w:firstLine="705"/>
        <w:jc w:val="both"/>
        <w:rPr>
          <w:lang w:val="uk-UA"/>
        </w:rPr>
      </w:pPr>
      <w:r>
        <w:rPr>
          <w:lang w:val="uk-UA"/>
        </w:rPr>
        <w:lastRenderedPageBreak/>
        <w:t>Цей контекст важливий, оскільки розкриває парадокс, який приховано присутній у багатьох великих музеях: найвідоміші твори є водночас найменш доступними у традиційному розумінні огляду. Фізична відстань, скло, обмежений час, натовп перетворює зустріч із «Моною Лізою» для більшості відвідувачів у досвід не стільки мистецтва, скільки ритуального наближення до відомого об'єкта. Відвідувач дивиться не стільки на картину, скільки на «Мону Лізу» як культурний образ, сприйняття якого вже сформоване мільйонами репродукцій, цитат і мемів, що передували цій зустрічі. Ця проблема відомості-недоступності є саме тим контекстом, у якому виник проєкт «Mona Lisa: Beyond the Glass» (іл. 2.1).</w:t>
      </w:r>
    </w:p>
    <w:p w14:paraId="12EDE986" w14:textId="77777777" w:rsidR="00135B88" w:rsidRPr="00C04D43" w:rsidRDefault="00F4635C" w:rsidP="00C04D43">
      <w:pPr>
        <w:spacing w:line="360" w:lineRule="auto"/>
        <w:ind w:firstLine="705"/>
        <w:jc w:val="both"/>
        <w:rPr>
          <w:lang w:val="uk-UA"/>
        </w:rPr>
      </w:pPr>
      <w:r>
        <w:rPr>
          <w:lang w:val="uk-UA"/>
        </w:rPr>
        <w:t>Відповіддю на цю ситуацію стало створення першого в історії Лувру VR-досвіду – «Mona Lisa: Beyond the Glass» – у співпраці з HTC VIVE Arts і студією Emissive. Семихвилинний сеанс надавав відвідувачу гарнітуру HTC Vive і запрошував у цифровий простір, де можна «перейти» за захисне скло і розглянути картину впритул. Проєкт спирався на результати наукових досліджень, зокрема аналіз техніки живопису, ідентифікацію особи Лізи дель Джокондо, і вибудовував наратив, що простягався за межі рами: відвідувач міг побачити ймовірне середовище заднього плану і, у фінальній сцені, «злетіти» на вигаданій версії літального апарату Леонардо над тосканським краєвидом [52;58]. Версія для домашнього використання поширювалася через сервіс VIVEPORT за підпискою.</w:t>
      </w:r>
    </w:p>
    <w:p w14:paraId="4C247552" w14:textId="77777777" w:rsidR="00135B88" w:rsidRPr="00C04D43" w:rsidRDefault="00F4635C" w:rsidP="00C04D43">
      <w:pPr>
        <w:spacing w:line="360" w:lineRule="auto"/>
        <w:ind w:firstLine="705"/>
        <w:jc w:val="both"/>
        <w:rPr>
          <w:lang w:val="uk-UA"/>
        </w:rPr>
      </w:pPr>
      <w:r>
        <w:rPr>
          <w:lang w:val="uk-UA"/>
        </w:rPr>
        <w:t xml:space="preserve">Цей проєкт поєднував кілька різних функцій іммерсивного формату. Компенсаторна: VR-середовище надавало доступ до твору, фізично недосяжного в реальній експозиції. Інтерпретаційна: цифровий простір ставав каналом передачі наукового знання, яке за звичайних умов огляду залишилося б невидимим: результати спектроскопічного аналізу, методи сфумато, контекст портрета [52]. Нарешті, проєкт розширював аудиторію: цифрова версія виходила за географічні межі виставки, перетворюючи локальну подію на глобально доступний досвід. Директорка HTC VIVE Arts Вікторія Чан </w:t>
      </w:r>
      <w:r>
        <w:rPr>
          <w:lang w:val="uk-UA"/>
        </w:rPr>
        <w:lastRenderedPageBreak/>
        <w:t>прямо говорила, що музей прагнув «розширити все, що він робить, за межі тих, хто може фізично ступити до його залів» [58].</w:t>
      </w:r>
    </w:p>
    <w:p w14:paraId="2DB5BB1C" w14:textId="77777777" w:rsidR="00135B88" w:rsidRPr="00C04D43" w:rsidRDefault="00F4635C" w:rsidP="00C04D43">
      <w:pPr>
        <w:spacing w:line="360" w:lineRule="auto"/>
        <w:ind w:firstLine="705"/>
        <w:jc w:val="both"/>
        <w:rPr>
          <w:lang w:val="uk-UA"/>
        </w:rPr>
      </w:pPr>
      <w:r>
        <w:rPr>
          <w:lang w:val="uk-UA"/>
        </w:rPr>
        <w:t>Куратори Лувру не позиціонували VR як альтернативу оригіналу. Директор з медіації і культурного програмування Домінік де Фон-Ро пояснював мету інакше: дати відвідувачеві зустріч із твором «поза легендами, що оточували його понад 500 років» [52]. Це формулювання вказує на медіаційну природу проєкту: він не заміняє оригінал, а створює посередницький простір, де знання набуває переживальної форми. Після семихвилинного сеансу у гарнітурі відвідувач повертався до реального простору виставки, де «Мона Ліза» залишалася за склом, як і раніше. Але цей «контакт», навіть цифровий, міг змінити оптику подальшого живого погляду: відвідувач уже знав, що приховано за поверхнею, і, можливо, дивився інакше.</w:t>
      </w:r>
    </w:p>
    <w:p w14:paraId="2FD7DF5D" w14:textId="77777777" w:rsidR="00135B88" w:rsidRPr="00C04D43" w:rsidRDefault="00F4635C" w:rsidP="00C04D43">
      <w:pPr>
        <w:spacing w:line="360" w:lineRule="auto"/>
        <w:ind w:firstLine="705"/>
        <w:jc w:val="both"/>
        <w:rPr>
          <w:lang w:val="uk-UA"/>
        </w:rPr>
      </w:pPr>
      <w:r>
        <w:rPr>
          <w:lang w:val="uk-UA"/>
        </w:rPr>
        <w:t>Певну емпіричну опору цій гіпотезі дає експеримент 2020 року, в якому 78 студентів сприймали живопис у трьох форматах: фізичному, цифровому та VR [51]. Рівень сприйняття виявився порівнянним незалежно від методу перегляду. Це не означає, що будь-яка VR-реалізація дає рівнозначний результат: вибірка зі студентів в умовах лабораторного експерименту суттєво відрізняється від реальної музейної аудиторії за мотивацією і контекстом відвідування, але сам формат виявляється чутливим до якості реалізації. Некоректний масштаб або непродумана система взаємодії знижують його ефективність порівняно з фізичним досвідом [50, с. 12]. Інакше кажучи, VR здатний забезпечити порівнянний рівень сприйняття, але лише тоді, коли він спроєктований відповідально і якісно.</w:t>
      </w:r>
    </w:p>
    <w:p w14:paraId="07A0C37D" w14:textId="77777777" w:rsidR="00135B88" w:rsidRPr="00C04D43" w:rsidRDefault="00F4635C" w:rsidP="00C04D43">
      <w:pPr>
        <w:spacing w:line="360" w:lineRule="auto"/>
        <w:ind w:firstLine="705"/>
        <w:jc w:val="both"/>
        <w:rPr>
          <w:lang w:val="uk-UA"/>
        </w:rPr>
      </w:pPr>
      <w:r>
        <w:rPr>
          <w:lang w:val="uk-UA"/>
        </w:rPr>
        <w:t xml:space="preserve">Якщо розглядати проєкт через призму MEUX, він охоплював обидва виміри досвіду. Прагматичний реалізовувався через структуровану подачу наукового контексту: відвідувач отримував конкретну, зрозуміло упаковану інформацію про картину. Гедоністичний – через природу самого VR-середовища: можливість «перейти за скло», фантазійна фінальна сцена, загальне відчуття події працювало на те, що дослідники позначають як «вихід за межі буденного» і «створення спогадів» [48, с. 74]. Водночас ця схема не є </w:t>
      </w:r>
      <w:r>
        <w:rPr>
          <w:lang w:val="uk-UA"/>
        </w:rPr>
        <w:lastRenderedPageBreak/>
        <w:t>автоматично успішною: дослідники послідовно підкреслюють, що реальний відвідувацький досвід залежить від низки чинників: попередніх знань, мотивації, контексту відвідування, і жодна виставкова технологія не гарантує універсального ефекту для кожного [48, с. 63].</w:t>
      </w:r>
    </w:p>
    <w:p w14:paraId="3D783793" w14:textId="77777777" w:rsidR="00135B88" w:rsidRPr="00C04D43" w:rsidRDefault="00F4635C" w:rsidP="00C04D43">
      <w:pPr>
        <w:spacing w:line="360" w:lineRule="auto"/>
        <w:ind w:firstLine="705"/>
        <w:jc w:val="both"/>
        <w:rPr>
          <w:lang w:val="uk-UA"/>
        </w:rPr>
      </w:pPr>
      <w:r>
        <w:rPr>
          <w:lang w:val="uk-UA"/>
        </w:rPr>
        <w:t>Окремо варто звернути увагу на те, як сам VR-формат трансформує спосіб читання твору. Традиційна виставкова ситуація передбачає пасивний огляд: відвідувач стоїть перед картиною і споглядає. У VR-досвіді «Mona Lisa» дослідницький контекст був інтегрований безпосередньо у структуру переживання: результати спектроскопічного аналізу пігментів, характер техніки сфумато і дані про ймовірну особу натурниці втілювалися у просторових візуальних шарах, які відвідувач проходив зсередини. Аудіогід чи пояснювальний текст залишаються зовнішніми стосовно огляду, натомість у VR-форматі знання набувало просторової форми: техніку сфумато, наприклад, можна було спостерігати як демонстрацію поступових тональних переходів, а не як текстовий опис у тривимірному просторі. Це відповідає тому, що Сіція [65] описує як перехід від виробництва знання, орієнтованого на об'єкт, до орієнтованого на людину, тобто знання формується радше через досвід людини, ніж навколо самого об'єкта, яка з ним взаємодіє. Цей вимір переведення знання у переживання – є, мабуть, найбільш специфічною якістю іммерсивного формату, яку складно відтворити жодним іншим способом. Але наскільки цей попередній цифровий контакт справді змінює якість живого сприйняття – питання, яке залишається емпірично відкритим і залежить від кожного конкретного відвідувача.</w:t>
      </w:r>
    </w:p>
    <w:p w14:paraId="47F8DFD6" w14:textId="77777777" w:rsidR="00135B88" w:rsidRPr="00C04D43" w:rsidRDefault="00F4635C" w:rsidP="00C04D43">
      <w:pPr>
        <w:spacing w:line="360" w:lineRule="auto"/>
        <w:ind w:firstLine="705"/>
        <w:jc w:val="both"/>
        <w:rPr>
          <w:lang w:val="uk-UA"/>
        </w:rPr>
      </w:pPr>
      <w:r>
        <w:rPr>
          <w:lang w:val="uk-UA"/>
        </w:rPr>
        <w:t xml:space="preserve">Для порівняння варто звернутися до іншої моделі іммерсивного простору teamLab Planets у Токіо (іл. 2.2) (Тойосу, відкрито у 2018). Якщо Лувр застосував іммерсивний формат як доповнення до класичної виставки, teamLab Planets побудований виключно навколо цифрового мистецтва без будь-якого матеріального об'єкта з колекції. Відвідувачі рухаються простором босоніж, частина зон передбачає ходіння по воді; інсталяції реагують на рух і </w:t>
      </w:r>
      <w:r>
        <w:rPr>
          <w:lang w:val="uk-UA"/>
        </w:rPr>
        <w:lastRenderedPageBreak/>
        <w:t>присутність людини, перетворюючи кожного відвідувача на елемент твору, точніше, на умову, за якої твір взагалі існує у своїй повній формі [69].</w:t>
      </w:r>
    </w:p>
    <w:p w14:paraId="31B001FD" w14:textId="77777777" w:rsidR="00135B88" w:rsidRPr="00C04D43" w:rsidRDefault="00F4635C" w:rsidP="00C04D43">
      <w:pPr>
        <w:spacing w:line="360" w:lineRule="auto"/>
        <w:ind w:firstLine="705"/>
        <w:jc w:val="both"/>
        <w:rPr>
          <w:lang w:val="uk-UA"/>
        </w:rPr>
      </w:pPr>
      <w:r>
        <w:rPr>
          <w:lang w:val="uk-UA"/>
        </w:rPr>
        <w:t>Ключова відмінність тут лежить у концептуальній, а далеко не лише технологічній площині. В teamLab Planets немає об'єкта, від якого цифрове середовище відштовхується: воно є самим твором. Про це говорить і офіційна концепція проєкту: «</w:t>
      </w:r>
      <w:r>
        <w:rPr>
          <w:lang w:val="en-US"/>
        </w:rPr>
        <w:t>boundary between the body and the artwork dissolves, the boundaries between the self, others, and the world become something continuous</w:t>
      </w:r>
      <w:r>
        <w:rPr>
          <w:lang w:val="uk-UA"/>
        </w:rPr>
        <w:t>» (перек. «межа між тілом і витвором мистецтва розчиняється, межі між собою, іншими та світом стають чимось безперервним») [69]. Це орієнтовано якраз на гедоністичний вимір досвіду, що включає повне сенсорне залучення, спільне переживання та відчуття розчинення меж між глядачем і середовищем. При цьому прагматичний вимір у значенні MEUX, передача культурного наративу про конкретний об'єкт спадщини, тут свідомо відсутній. Тут немає «виставки про щось»: сам досвід стає самодостатнім.</w:t>
      </w:r>
    </w:p>
    <w:p w14:paraId="48491A4E" w14:textId="77777777" w:rsidR="00135B88" w:rsidRPr="00C04D43" w:rsidRDefault="00F4635C" w:rsidP="00C04D43">
      <w:pPr>
        <w:spacing w:line="360" w:lineRule="auto"/>
        <w:ind w:firstLine="705"/>
        <w:jc w:val="both"/>
        <w:rPr>
          <w:lang w:val="uk-UA"/>
        </w:rPr>
      </w:pPr>
      <w:r>
        <w:rPr>
          <w:lang w:val="uk-UA"/>
        </w:rPr>
        <w:t>Зафіксований у Книзі рекордів Гіннеса показник відвідуваності teamLab Planets – за даними самого проєкту, понад 2,5 млн відвідувачів за рік у період квітень 2023 – березень 2024 – вказує радше на популярність цього формату дозвілля, ніж на масовий попит саме на музейну репрезентацію спадщини [69]. Висока відвідуваність сама по собі описує успіх цифрового арт-простору як індустрії дозвілля, а не є критерієм музейної ефективності.</w:t>
      </w:r>
    </w:p>
    <w:p w14:paraId="3783028B" w14:textId="77777777" w:rsidR="00135B88" w:rsidRPr="00C04D43" w:rsidRDefault="00F4635C" w:rsidP="00C04D43">
      <w:pPr>
        <w:spacing w:line="360" w:lineRule="auto"/>
        <w:ind w:firstLine="705"/>
        <w:jc w:val="both"/>
        <w:rPr>
          <w:lang w:val="uk-UA"/>
        </w:rPr>
      </w:pPr>
      <w:r>
        <w:rPr>
          <w:lang w:val="uk-UA"/>
        </w:rPr>
        <w:t xml:space="preserve">З позиції MEUX, teamLab максимізує гедоністичний вимір, майже повністю відмовляючись від прагматичного – це свідомий жанровий вибір. Але це робить teamLab Planets прикладом цифрового арт-простору, що є відмінним від іммерсивного доповнення в класичному музеї. Тому порівняння між двома моделями є важливим лише в тому контексті, що в луврському проєкті цифрове середовище підпорядковане завданню репрезентації конкретного твору і його контексту, тоді як у teamLab цифрове середовище і є самим твором. Це два типи виставкової логіки з різними цілями і різними критеріями успішності. Водночас безпрецедентний успіх проєктів </w:t>
      </w:r>
      <w:r>
        <w:t>teamLab</w:t>
      </w:r>
      <w:r>
        <w:rPr>
          <w:lang w:val="uk-UA"/>
        </w:rPr>
        <w:t xml:space="preserve"> слугує чітким індикатором змін у запитах сучасної аудиторії, яка дедалі </w:t>
      </w:r>
      <w:r>
        <w:rPr>
          <w:lang w:val="uk-UA"/>
        </w:rPr>
        <w:lastRenderedPageBreak/>
        <w:t>більше прагне тотального емоційного залучення. Цей феномен дає класичним інституціям вагомий привід для рефлексії: як модернізувати підходи до статичних експозицій, щоб відповідати очікуванням публіки, не втрачаючи при цьому своєї освітньої місії.</w:t>
      </w:r>
    </w:p>
    <w:p w14:paraId="38057107" w14:textId="77777777" w:rsidR="00135B88" w:rsidRPr="00C04D43" w:rsidRDefault="00F4635C" w:rsidP="00C04D43">
      <w:pPr>
        <w:spacing w:line="360" w:lineRule="auto"/>
        <w:ind w:firstLine="705"/>
        <w:jc w:val="both"/>
        <w:rPr>
          <w:lang w:val="uk-UA"/>
        </w:rPr>
      </w:pPr>
      <w:r>
        <w:rPr>
          <w:lang w:val="uk-UA"/>
        </w:rPr>
        <w:t xml:space="preserve">Отже, можемо побачити, що іммерсивні формати VR, AR, мультисенсорні інсталяції впливають на глибину взаємодії відвідувача і здатні відкривати доступ до змісту, невидимого за умов традиційного огляду. Разом із тим дослідники підкреслюють, що ефективне впровадження таких технологій потребує балансу між технологічним рішенням і цілями змістовної та естетичної презентації [50, с. 11]. Знання про твір, переведене в переживання, і переживання як самоціль – це якісно різні виставкові рішення, навіть якщо зовнішньо вони можуть виглядати схоже. </w:t>
      </w:r>
    </w:p>
    <w:p w14:paraId="43CDEDEA" w14:textId="77777777" w:rsidR="00135B88" w:rsidRPr="00C04D43" w:rsidRDefault="00F4635C" w:rsidP="00C04D43">
      <w:pPr>
        <w:pStyle w:val="2"/>
        <w:spacing w:after="0"/>
        <w:ind w:firstLine="705"/>
        <w:rPr>
          <w:lang w:val="uk-UA"/>
        </w:rPr>
      </w:pPr>
      <w:bookmarkStart w:id="11" w:name="_Toc231668464"/>
      <w:r>
        <w:rPr>
          <w:lang w:val="uk-UA"/>
        </w:rPr>
        <w:t>2.2. Цифрова медіація музейної колекції та нові способи репрезентації експозиції</w:t>
      </w:r>
      <w:bookmarkEnd w:id="11"/>
    </w:p>
    <w:p w14:paraId="4E2CF1B7" w14:textId="77777777" w:rsidR="00135B88" w:rsidRPr="00C04D43" w:rsidRDefault="00F4635C" w:rsidP="00C04D43">
      <w:pPr>
        <w:spacing w:line="360" w:lineRule="auto"/>
        <w:ind w:firstLine="705"/>
        <w:jc w:val="both"/>
        <w:rPr>
          <w:lang w:val="uk-UA"/>
        </w:rPr>
      </w:pPr>
      <w:r>
        <w:rPr>
          <w:lang w:val="uk-UA"/>
        </w:rPr>
        <w:t>Якщо іммерсивний виставковий формат будується навколо емоційного переживання як такого, то цифрова медіація колекції ставить перед собою інше, не менш важливе завдання: зробити видимим те, що зазвичай залишається прихованим. Йдеться про матеріальну структуру творів, процеси їхнього збереження, реставраційні рішення та глибокий науковий апарат, який стоїть за кожним експонатом. Цифрова медіація при цьому не замінює живої взаємодії з оригіналом і не перетворює виставку на видовище. Навпаки, вона розширює поле музейної комунікації, відкриваючи відвідувачеві ті шари знання про твір, які в умовах класичного огляду залишаються недоступними.</w:t>
      </w:r>
    </w:p>
    <w:p w14:paraId="2D41CCCD" w14:textId="77777777" w:rsidR="00135B88" w:rsidRPr="00C04D43" w:rsidRDefault="00F4635C" w:rsidP="00C04D43">
      <w:pPr>
        <w:spacing w:line="360" w:lineRule="auto"/>
        <w:ind w:firstLine="705"/>
        <w:jc w:val="both"/>
        <w:rPr>
          <w:lang w:val="uk-UA"/>
        </w:rPr>
      </w:pPr>
      <w:r>
        <w:rPr>
          <w:lang w:val="uk-UA"/>
        </w:rPr>
        <w:t xml:space="preserve">Цифрова медіація колекції як стратегія відрізняється від іммерсивного формату насамперед у ставленні до оригінального об'єкта: замість того щоб конструювати альтернативне середовище навколо нього або замість нього, вона поглиблює репрезентацію самого об'єкта. Це розмежування має і теоретичне, і практичне значення. З погляду музейної комунікації, описаної Гупер-Грінгіл [46], традиційна виставкова педагогіка передачі знань опирається на лінійну модель: музей формулює, відвідувач засвоює. Цифрова </w:t>
      </w:r>
      <w:r>
        <w:rPr>
          <w:lang w:val="uk-UA"/>
        </w:rPr>
        <w:lastRenderedPageBreak/>
        <w:t>медіація ускладнює цю схему, оскільки вона не просто додає новий канал передачі змісту: вона змінює саму природу того, що передається. Відвідувач отримує не лише інтерпретаційний коментар до твору, а й уявлення про сам процес атрибуції та каталогізації: яким чином встановлено авторство, коли і за яких обставин твір надійшов до колекції, через які руки пройшов. Конкретна технічна картка кожного запису містить провенанс, реєстраційний номер, статус демонстрації та, де це можливо, посилання на дослідницькі публікації. Це якісно інший рівень прозорості, і саме він відрізняє цифрову медіацію від аудіогіда або розширеного підпису. У цьому контексті зазначається, що цифрова реставрація, яка спирається на AR і суміжні технології, дозволяє збагатити візуальну репрезентацію пошкоджених або деградованих артефактів, не втручаючись у матеріал оригіналу, що безпосередньо впливає на якість відвідувацького досвіду [50, с. 18].</w:t>
      </w:r>
    </w:p>
    <w:p w14:paraId="505AADB6" w14:textId="77777777" w:rsidR="00135B88" w:rsidRPr="00C04D43" w:rsidRDefault="00F4635C" w:rsidP="00C04D43">
      <w:pPr>
        <w:spacing w:line="360" w:lineRule="auto"/>
        <w:ind w:firstLine="705"/>
        <w:jc w:val="both"/>
        <w:rPr>
          <w:lang w:val="uk-UA"/>
        </w:rPr>
      </w:pPr>
      <w:r>
        <w:rPr>
          <w:lang w:val="uk-UA"/>
        </w:rPr>
        <w:t>Rijksmuseum в Амстердамі послідовно формує цю модель щонайменше з початку 2000-х років: ще тоді музей розпочав оцифрування колекції і поступово перейшов до відкритого доступу до цифрових зображень творів у повній якості без обмежень авторського права [36;63]. Але найбільш показовим виявом цієї стратегії став проєкт Operation Night Watch (іл. 2.3) – масштабний реставраційний і дослідницький проєкт, що розпочався у 2019 році і проходив до 2024 року. Він охоплював кілька різних, але взаємопов'язаних вимірів: наукову візуалізацію, AI-реконструкцію втраченого і виставкову прозорість як самостійну форму музейної медіації.</w:t>
      </w:r>
    </w:p>
    <w:p w14:paraId="41C705C5" w14:textId="77777777" w:rsidR="00135B88" w:rsidRPr="00C04D43" w:rsidRDefault="00F4635C" w:rsidP="00C04D43">
      <w:pPr>
        <w:spacing w:line="360" w:lineRule="auto"/>
        <w:ind w:firstLine="705"/>
        <w:jc w:val="both"/>
        <w:rPr>
          <w:lang w:val="uk-UA"/>
        </w:rPr>
      </w:pPr>
      <w:r>
        <w:rPr>
          <w:lang w:val="uk-UA"/>
        </w:rPr>
        <w:t xml:space="preserve">«Нічна варта» Рембрандта 1642 року – не лише найвідоміший твір колекції Rijksmuseum, а й об'єкт, що несе в собі кількасотлітні фізичні пошкодження. У 1715 році картину обрізали з чотирьох боків, щоб вона вписалася в нову залу амстердамської Ратуші. Внаслідок цього були втрачені дві фігури зліва, верхня частина арки, балюстрада та частина сходинок [59]. Упродовж трьох століть твір існував у редукованому вигляді, і навіть фахівці не мали повного уявлення про його оригінальну композицію. Саме цей факт визначив первинну дослідницьку задачу Operation Night Watch: зрозуміти, </w:t>
      </w:r>
      <w:r>
        <w:rPr>
          <w:lang w:val="uk-UA"/>
        </w:rPr>
        <w:lastRenderedPageBreak/>
        <w:t>яким був оригінал, щоб мати повне наукове уявлення про первісний задум твору.</w:t>
      </w:r>
    </w:p>
    <w:p w14:paraId="0B352A91" w14:textId="77777777" w:rsidR="00135B88" w:rsidRPr="00C04D43" w:rsidRDefault="00F4635C" w:rsidP="00C04D43">
      <w:pPr>
        <w:spacing w:line="360" w:lineRule="auto"/>
        <w:ind w:firstLine="705"/>
        <w:jc w:val="both"/>
        <w:rPr>
          <w:lang w:val="uk-UA"/>
        </w:rPr>
      </w:pPr>
      <w:r>
        <w:rPr>
          <w:lang w:val="uk-UA"/>
        </w:rPr>
        <w:t>Дослідницька фаза проєкту залучила більше двадцяти науковців, реставраторів, кураторів і фотографів Rijksmuseum у співпраці з TU Delft, Університетом Амстердама, Університетом Антверпена, Університетом Ейндговена та Національною галереєю мистецтв у Вашингтоні [61]. Перший етап зосереджувався на аналізі пігментів і шарів живопису із застосуванням цифрового зображення, природничо-наукових і матеріально-технічних досліджень, комп'ютерних наук та штучного інтелекту [61]. Зокрема, рентгенівський аналіз виявив раніше невідомі підмальовок під шарами фарби, а «карта кальцію» розкрила невидиму оку структуру основи. Ці результати не лише збагатили наукові знання про твір, а й стали частиною виставкового наративу, публічно доступного через офіційний ресурс проєкту.</w:t>
      </w:r>
    </w:p>
    <w:p w14:paraId="11AEA18B" w14:textId="77777777" w:rsidR="00135B88" w:rsidRPr="00C04D43" w:rsidRDefault="00F4635C" w:rsidP="00C04D43">
      <w:pPr>
        <w:spacing w:line="360" w:lineRule="auto"/>
        <w:ind w:firstLine="705"/>
        <w:jc w:val="both"/>
        <w:rPr>
          <w:lang w:val="uk-UA"/>
        </w:rPr>
      </w:pPr>
      <w:r>
        <w:rPr>
          <w:lang w:val="uk-UA"/>
        </w:rPr>
        <w:t>У травні 2020 року Rijksmuseum оприлюднив складене зображення картини з роздільністю 44,8 гігапікселя, а у 2022 році – нову версію у 717 гігапікселів, учетверо чіткішу, де кожен піксель відповідав площі у 5 мікрометрів [60;62]. Така деталізація має не суто технічне значення. Вона змінює сам предмет мистецтвознавчого пізнання: дослідник і глядач отримують доступ до мікроструктури авторського письма – послідовності мазків, складу пігментів, слідів реставраційних втручань, – яка раніше залишалася недоступною навіть за безпосереднього огляду полотна в залі. Завдяки цьому нейронні мережі отримали можливість автоматично ідентифікувати схожі пігментні частинки або виявляти свинцеві мила, а саме зображення перетворилося з репродукції на самостійний інструмент атрибуції та моніторингу стану твору.</w:t>
      </w:r>
    </w:p>
    <w:p w14:paraId="7378130E" w14:textId="77777777" w:rsidR="00135B88" w:rsidRPr="00C04D43" w:rsidRDefault="00F4635C" w:rsidP="00C04D43">
      <w:pPr>
        <w:spacing w:line="360" w:lineRule="auto"/>
        <w:ind w:firstLine="705"/>
        <w:jc w:val="both"/>
        <w:rPr>
          <w:lang w:val="uk-UA"/>
        </w:rPr>
      </w:pPr>
      <w:r>
        <w:rPr>
          <w:lang w:val="uk-UA"/>
        </w:rPr>
        <w:t xml:space="preserve">Застосування гігапіксельної зйомки у виставковому контексті є більш ніж технічним рішенням. Через призму MEUX, описану в попередньому підрозділі, гігапіксельне зображення, доступне онлайн, принципово змінює всі компоненти прагматичного виміру: зміст стає глибшим і точнішим, подача – доступнішою і масштабованою, а взаємодія з твором набуває якостей, </w:t>
      </w:r>
      <w:r>
        <w:rPr>
          <w:lang w:val="uk-UA"/>
        </w:rPr>
        <w:lastRenderedPageBreak/>
        <w:t>неможливих у фізичному просторі залу. Для дослідників зображення слугує інструментом дистанційного аналізу і моніторингу старіння; для широкої аудиторії – першою реальною можливістю розглянути живопис на рівні, недосяжному навіть для безпосереднього огляду в залі. Тут цифрова репрезентація навіть розкриває деталі, невидимі для неозброєного ока.</w:t>
      </w:r>
    </w:p>
    <w:p w14:paraId="607FFDD0" w14:textId="77777777" w:rsidR="00135B88" w:rsidRPr="00C04D43" w:rsidRDefault="00F4635C" w:rsidP="00C04D43">
      <w:pPr>
        <w:spacing w:line="360" w:lineRule="auto"/>
        <w:ind w:firstLine="705"/>
        <w:jc w:val="both"/>
        <w:rPr>
          <w:lang w:val="uk-UA"/>
        </w:rPr>
      </w:pPr>
      <w:r>
        <w:rPr>
          <w:lang w:val="uk-UA"/>
        </w:rPr>
        <w:t>Паралельно з дослідженням матеріального стану картини команда Operation Night Watch вирішувала завдання мистецтвознавчої реконструкції. Для відтворення обрізаних ділянок команда навчила алгоритм конвертувати стиль копії Лундена, виконаної між 1642 і 1655 роками, до обрізання оригіналу, у стиль Рембрандта; відтак копія слугувала зразком первісної композиції, на якому нейронна мережа вчилася відтворювати характерні ознаки авторського письма [49]. Реконструйовані секції були надруковані на панелях і тимчасово встановлені навколо оригінальної картини, дозволяючи відвідувачам уперше за понад 300 років побачити повну композицію [59]. Важливо, що музей прямо повідомив про характер цих доповнень: реконструкція не вносилася в оригінал і не є частиною реставрації. Як зазначається в офіційній заяві закладу, інкорпорувати втрачені частини у фактичну реставрацію «Нічної варти» не входить у наміри музею [59]. Ця прозорість щодо статусу реконструйованого матеріалу є ключовою: відвідувач бачить верифікований науковий результат, а не імітацію «оригіналу» у відкрито позначених рамках.</w:t>
      </w:r>
    </w:p>
    <w:p w14:paraId="29390CF9" w14:textId="77777777" w:rsidR="00135B88" w:rsidRPr="00C04D43" w:rsidRDefault="00F4635C" w:rsidP="00C04D43">
      <w:pPr>
        <w:spacing w:line="360" w:lineRule="auto"/>
        <w:ind w:firstLine="705"/>
        <w:jc w:val="both"/>
        <w:rPr>
          <w:lang w:val="uk-UA"/>
        </w:rPr>
      </w:pPr>
      <w:r>
        <w:rPr>
          <w:lang w:val="uk-UA"/>
        </w:rPr>
        <w:t xml:space="preserve">Підхід до AI-реконструкції у Rijksmuseum виявляє кілька важливих ознак виставкової відповідальності. По-перше, алгоритм не генерував довільний «рембрандтівський» живопис: він спирався на конкретний, атрибутоване візуальне джерело: копію Лундена, яка зберігалася в Національній галереї Лондона і прибула до Амстердама на умовах позики. По-друге, результат не розміщувався поруч із оригіналом без маркування: панелі мали чітко позначений статус реконструкції. По-третє, сам Роберт Ердман, старший науковець Rijksmuseum і професор Університету Амстердама, послідовно уточнював: AI не заступив реставраторів – він дав їм нові </w:t>
      </w:r>
      <w:r>
        <w:rPr>
          <w:lang w:val="uk-UA"/>
        </w:rPr>
        <w:lastRenderedPageBreak/>
        <w:t>інструменти для роботи [47]. Ця позиція відображає ширший аспект: ефективне застосування цифрових технологій у музейному середовищі потребує балансу між технологічним рішенням і завданнями змістовної та естетичної репрезентації [50, с. 11].</w:t>
      </w:r>
    </w:p>
    <w:p w14:paraId="0CB38254" w14:textId="77777777" w:rsidR="00135B88" w:rsidRPr="00C04D43" w:rsidRDefault="00F4635C" w:rsidP="00C04D43">
      <w:pPr>
        <w:spacing w:line="360" w:lineRule="auto"/>
        <w:ind w:firstLine="705"/>
        <w:jc w:val="both"/>
        <w:rPr>
          <w:lang w:val="uk-UA"/>
        </w:rPr>
      </w:pPr>
      <w:r>
        <w:rPr>
          <w:lang w:val="uk-UA"/>
        </w:rPr>
        <w:t>Саме прозорість визначає виставкову стратегію Operation Night Watch загалом. Вся операція проводилася у відкритому просторі, на очах у публіки, в ультрапрозорій скляній камері, спроектованій французьким архітектором Жан-Мішелем Вільмоттом [61]. Реставрація, яка в більшості музеїв відбувається у закритих лабораторіях і стає видимою для публіки лише у готовому результаті, у Rijksmuseum перетворилася на виставковий процес як такий. Консерватор Паула Дреджа з Університету Мельбурна, оцінюючи це рішення, зазначила, що «колекції у публічних інститутах належать людям, і вони мають право знати, що з ними робиться» [67]. Прес-офіцер музею Каспер ван дер Крейт коротко сформулював позицію інституції: «ми прагнемо бути прозорими в усьому, що ми робимо» [47]. Ця прозорість була фактичною і відображалася в архітектурі та дизайні всього виставкового проєкту.</w:t>
      </w:r>
    </w:p>
    <w:p w14:paraId="5D9B8A22" w14:textId="77777777" w:rsidR="00135B88" w:rsidRPr="00C04D43" w:rsidRDefault="00F4635C" w:rsidP="00C04D43">
      <w:pPr>
        <w:spacing w:line="360" w:lineRule="auto"/>
        <w:ind w:firstLine="705"/>
        <w:jc w:val="both"/>
        <w:rPr>
          <w:lang w:val="uk-UA"/>
        </w:rPr>
      </w:pPr>
      <w:r>
        <w:rPr>
          <w:lang w:val="uk-UA"/>
        </w:rPr>
        <w:t>Через призму MEUX виставкова стратегія Operation Night Watch охоплює обидва виміри досвіду, але в специфічний спосіб. Прагматичний вимір реалізується через максимальну щільність верифікованого наукового контексту: відвідувач отримує доступ не лише до твору, а й до розуміння його стану, матеріальності і процесу прийняття реставраційних рішень. Гедоністичний вимір виникає не з технологічної ефектності, а з унікальності самої ситуації: спостерігати за реставрацією однієї з найвідоміших картин світу в режимі реального часу є досвідом, якому складно знайти аналог у традиційній виставковій практиці. Це апелює до того, що дослідники MEUX позначають як «вихід за межі буденного» і «створення спогадів» [48, с. 74], але через живий досвід спостереження за науковим процесом реставрації, а не через занурення в цифрове середовище.</w:t>
      </w:r>
    </w:p>
    <w:p w14:paraId="330F2E57" w14:textId="77777777" w:rsidR="00135B88" w:rsidRPr="00C04D43" w:rsidRDefault="00F4635C" w:rsidP="00C04D43">
      <w:pPr>
        <w:spacing w:line="360" w:lineRule="auto"/>
        <w:ind w:firstLine="705"/>
        <w:jc w:val="both"/>
        <w:rPr>
          <w:lang w:val="uk-UA"/>
        </w:rPr>
      </w:pPr>
      <w:r>
        <w:rPr>
          <w:lang w:val="uk-UA"/>
        </w:rPr>
        <w:t xml:space="preserve">Окремо варто розглянути, як цифрова документація Operation Night Watch впливає на сприйняття оригіналу в залі. Відвідувач, який до приходу в </w:t>
      </w:r>
      <w:r>
        <w:rPr>
          <w:lang w:val="uk-UA"/>
        </w:rPr>
        <w:lastRenderedPageBreak/>
        <w:t>музей переглядав гігапіксельне зображення картини онлайн або стежив за трансляцією реставраційних робіт, приходить до залу з іншою оптикою: він уже знає про арсенідно-сульфідні пігменти під золотистим свіченням, про свинцеву основу, про місце, де колись стояли зрізані фігури. Дослідники фіксують [50, с. 12], що попереднє знайомство з цифровою документацією твору здатне трансформувати якість живого огляду, оскільки відвідувач вбудовує нові знання у фізичний перцептивний досвід. Цей ефект – підготовки до зустрічі з оригіналом через цифровий рівень репрезентації – є однією з важливих функцій медіаційної стратегії Rijksmuseum, і він відрізняється від того, що робить аудіогід чи пояснювальний текст: там знання передається після або паралельно з оглядом, тут воно передує йому і змінює саму рамку сприйняття.</w:t>
      </w:r>
    </w:p>
    <w:p w14:paraId="6871A056" w14:textId="77777777" w:rsidR="00135B88" w:rsidRPr="00C04D43" w:rsidRDefault="00F4635C" w:rsidP="00C04D43">
      <w:pPr>
        <w:spacing w:line="360" w:lineRule="auto"/>
        <w:ind w:firstLine="705"/>
        <w:jc w:val="both"/>
        <w:rPr>
          <w:lang w:val="uk-UA"/>
        </w:rPr>
      </w:pPr>
      <w:r>
        <w:rPr>
          <w:lang w:val="uk-UA"/>
        </w:rPr>
        <w:t>На противагу цій моделі, Тейт у Лондоні реалізує цифрову медіацію колекції іншими засобами. Ця стратегія була формалізована в Цифровій стратегії Тейт 2013–15 «Digital as a Dimension of Everything». Його розробник, колишній керівник цифрового напряму Джон Стек, визначив амбіцію музею не лише перенести колекцію в цифровий простір, а й побудувати такий досвід, що «зростатиме із залученням аудиторії» [68]. Мета, проголошена директором Ніколасом Серотою, полягала в тому, щоб майбутній музей залишався вкоріненим у своїх будівлях, але водночас звертався до аудиторії по всьому світу [68]. Практично це вилилося у кілька взаємопов'язаних цифрових ініціатив, що стосуються репрезентації колекції.</w:t>
      </w:r>
    </w:p>
    <w:p w14:paraId="6A20F030" w14:textId="77777777" w:rsidR="00135B88" w:rsidRPr="00C04D43" w:rsidRDefault="00F4635C" w:rsidP="00C04D43">
      <w:pPr>
        <w:spacing w:line="360" w:lineRule="auto"/>
        <w:ind w:firstLine="705"/>
        <w:jc w:val="both"/>
        <w:rPr>
          <w:lang w:val="uk-UA"/>
        </w:rPr>
      </w:pPr>
      <w:r>
        <w:rPr>
          <w:lang w:val="uk-UA"/>
        </w:rPr>
        <w:t xml:space="preserve">Тейт Collection Online (іл. 2.4) є одним із найбільш розгалужених публічних мистецьких баз даних у Великій Британії. Кожен твір у базі представлений з уніфікованим блоком технічної інформації: автор, рік народження і смерті, оригінальна назва, рік створення, техніка, розмір, колекція, інвентарний номер і статус демонстрації [45]. Водночас обсяг додаткового контексту варіюється: частина творів супроводжується розгорнутими есе, коментарями самих художників, відео і аудіозаписами, тоді як для інших доступна лише базова технічна картка. Це нерівномірне </w:t>
      </w:r>
      <w:r>
        <w:rPr>
          <w:lang w:val="uk-UA"/>
        </w:rPr>
        <w:lastRenderedPageBreak/>
        <w:t>наповнення метаданих є системною проблемою, оскільки саме від нього залежить, які саме твори отримають широкий цифровий контекст і, відповідно, повноцінну цифрову присутність у колекції. Система пошуку дозволяє фільтрувати матеріал за категоріями: художник, твір, виставки, дисплеї, листи і начерки, відео і аудіо, тематичні матеріали, місце знаходження [45]. Ця структура визначає, за якими векторами відвідувач може рухатися по колекції, і тим самим структурує можливі маршрути інтерпретації.</w:t>
      </w:r>
    </w:p>
    <w:p w14:paraId="0CAB3F53" w14:textId="77777777" w:rsidR="00135B88" w:rsidRPr="00C04D43" w:rsidRDefault="00F4635C" w:rsidP="00C04D43">
      <w:pPr>
        <w:spacing w:line="360" w:lineRule="auto"/>
        <w:ind w:firstLine="705"/>
        <w:jc w:val="both"/>
        <w:rPr>
          <w:lang w:val="uk-UA"/>
        </w:rPr>
      </w:pPr>
      <w:r>
        <w:rPr>
          <w:lang w:val="uk-UA"/>
        </w:rPr>
        <w:t>Особливу роль у логіці Тейт Collection Online відіграє система рекомендацій. На сторінці кожного твору є блок «You might like» – алгоритмічна добірка візуально або концептуально споріднених робіт. Наприклад, у записі для «Равлика» Матісса в цьому блоці відображаються «Оголена в драпіровці» того самого Матісса і «Сидяча Дора Маар» Пікассо [45]. Алгоритм спирається на метадані: теги кольору, форми, стилю, художнього руху – і пропонує відвідувачеві горизонтальний рух по колекції, заснований на асоціативних зв'язках між творами, а не на хронологічній чи географічній логіці. Це відповідає описаній у систематичному огляді ролі AI в персоналізованих рекомендаційних системах музейного середовища [50, с. 8]: технологія відпрацьовує навігаційний і асоціативний виміри взаємодії з колекцією, забезпечуючи кожному відвідувачу потенційно унікальний маршрут крізь неї. Ефективність такого підходу залежить від якості вихідних метаданих: чим точніші й розгалуженіші теги, тим більш змістовними є рекомендації. Ця залежність водночас є і слабким місцем системи: нерівномірна атрибуція творів метаданими означає, що алгоритм розподіляє «видимість» у колекції нерівномірно.</w:t>
      </w:r>
    </w:p>
    <w:p w14:paraId="20A91D7C" w14:textId="77777777" w:rsidR="00135B88" w:rsidRPr="00C04D43" w:rsidRDefault="00F4635C" w:rsidP="00C04D43">
      <w:pPr>
        <w:spacing w:line="360" w:lineRule="auto"/>
        <w:ind w:firstLine="705"/>
        <w:jc w:val="both"/>
        <w:rPr>
          <w:lang w:val="uk-UA"/>
        </w:rPr>
      </w:pPr>
      <w:r>
        <w:rPr>
          <w:lang w:val="uk-UA"/>
        </w:rPr>
        <w:t xml:space="preserve">Мобільний додаток Тейт розширює цю логіку на фізичний простір музею: він пропонує відвідувачу орієнтування в галереях, показує, де розташований конкретний твір, і дозволяє переглядати профілі художників і окремих робіт просто під час обходу зали. Додаток пропонував відвідувачу перелік усіх художників, що виставляються, і при кліку на ім'я показував усі їхні роботи в поточній експозиції [45]. Водночас мобільний додаток залишався </w:t>
      </w:r>
      <w:r>
        <w:rPr>
          <w:lang w:val="uk-UA"/>
        </w:rPr>
        <w:lastRenderedPageBreak/>
        <w:t>переважно інформаційним: він не передбачав можливості доповнити зміст або прокоментувати твір. Колишній керівник цифрового напряму Стек визнавав, що аудиторія дедалі більше очікує від музею не лише доступу до інформації, а й можливості брати участь [68], однак практика Тейт на момент аналізу більшою мірою відповідала моделі одностороннього передавання знань, ніж справжньої двосторонньої взаємодії [45]. Це розходження між задекларованою цифровою стратегією і реальним рівнем залучення відвідувача є характерним для великих інститутів, де масштаб і складність інфраструктури заважають швидкому впровадженню інновацій.</w:t>
      </w:r>
    </w:p>
    <w:p w14:paraId="12DCD8B8" w14:textId="77777777" w:rsidR="00135B88" w:rsidRPr="00C04D43" w:rsidRDefault="00F4635C" w:rsidP="00C04D43">
      <w:pPr>
        <w:spacing w:line="360" w:lineRule="auto"/>
        <w:ind w:firstLine="705"/>
        <w:jc w:val="both"/>
        <w:rPr>
          <w:lang w:val="uk-UA"/>
        </w:rPr>
      </w:pPr>
      <w:r>
        <w:rPr>
          <w:lang w:val="uk-UA"/>
        </w:rPr>
        <w:t>Мультимедійний гід, доступний у залах Тейт Modern, функціонує як дзеркало онлайн-бази: кожен твір у залі має унікальний числовий код, за яким відвідувач може знайти аудіокоментар, відеоматеріал або текстовий опис [45]. Однак не всі виставлені роботи представлені в гіді: відсутність коду поруч із твором означає, що до цифрового рівня репрезентації він не включений. Це обмеження симптоматичне: цифрова медіація колекції в Тейт залишається вибірковою за охопленням, хоча рамкові документи описують її як системну. Колишній директор Крис Деркон формулював ключовий принцип музею так: «ми піднімаємо питання, на які Google не дасть відповіді» [68], визнаючи, що цифровий ресурс музею і загальнодоступні пошукові системи конкурують за ту саму аудиторію. У Тейт цифровий контент розглядається як канал для кураторської інтерпретації, а не як альтернатива фізичному візиту, яку не можуть надати пошукові системи.</w:t>
      </w:r>
    </w:p>
    <w:p w14:paraId="3D72C6F0" w14:textId="77777777" w:rsidR="00135B88" w:rsidRPr="00C04D43" w:rsidRDefault="00F4635C" w:rsidP="00C04D43">
      <w:pPr>
        <w:spacing w:line="360" w:lineRule="auto"/>
        <w:ind w:firstLine="705"/>
        <w:jc w:val="both"/>
        <w:rPr>
          <w:lang w:val="uk-UA"/>
        </w:rPr>
      </w:pPr>
      <w:r>
        <w:rPr>
          <w:lang w:val="uk-UA"/>
        </w:rPr>
        <w:t xml:space="preserve">Порівняння між Rijksmuseum і Тейт як двома моделями цифрової медіації виявляє структурну відмінність, яку можна позначити як «глибина об'єкта» проти «глибини навігації». Rijksmuseum зосереджує цифрові зусилля на одному, хоча й найвизначнішому, творі колекції: Operation Night Watch є прикладом вертикального заглиблення в матеріальність, реставраційну логіку і науковий контекст конкретного полотна. Цифровий інструментарій – гігапіксельна зйомка, нейронні мережі, пряма трансляція реставрації – підпорядкований завданню розкрити один об'єкт якомога повніше, зробити </w:t>
      </w:r>
      <w:r>
        <w:rPr>
          <w:lang w:val="uk-UA"/>
        </w:rPr>
        <w:lastRenderedPageBreak/>
        <w:t>видимим те, що в ньому приховано часом, пошкодженнями і умовами класичного музейного огляду. Тейт, натомість, будує горизонтальну цифрову архітектуру, що охоплює весь масив колекції: система метаданих, рекомендаційний алгоритм і мультимедійний гід разом формують середовище, в якому відвідувач може рухатися між тисячами творів за різними логіками: за художником, стилем, кольором, тематичним тегом. Якщо Rijksmuseum пропонує глибину занурення в один твір, Тейт пропонує розгалуженість руху по всій колекції. Обидві стратегії реалізують завдання цифрової медіації, але звертаються до різних потреб аудиторії і спираються на різні уявлення про те, що означає «знати колекцію». Перша модель апелює до відвідувача, зацікавленого в науковій глибині конкретного твору; друга – до того, хто шукає орієнтування у великому і потенційно незнайомому масиві.</w:t>
      </w:r>
    </w:p>
    <w:p w14:paraId="7746B296" w14:textId="77777777" w:rsidR="00135B88" w:rsidRPr="00C04D43" w:rsidRDefault="00F4635C" w:rsidP="00C04D43">
      <w:pPr>
        <w:spacing w:line="360" w:lineRule="auto"/>
        <w:ind w:firstLine="705"/>
        <w:jc w:val="both"/>
        <w:rPr>
          <w:lang w:val="uk-UA"/>
        </w:rPr>
      </w:pPr>
      <w:r>
        <w:rPr>
          <w:lang w:val="uk-UA"/>
        </w:rPr>
        <w:t>Це розмежування відображається і в різних підходах до питання відкритості. Rijksmuseum ще у 2000-х роках ухвалив рішення надати відкритий доступ до цифрових зображень своїх творів у повній якості, спираючись на відсутність авторсько-правових обмежень для більшості колекції [36]. Rijksmuseum сформулював свій підхід як орієнтацію на місію музею, а не на монетизацію цифрового контенту [36]. Тейт зберігав більш контрольований підхід до поширення колекції: доступ до зображень в онлайні певний час залежав від авторських прав і комерційних угод, що обмежувало відкритість цифрової бази [36]. Ця різниця у стратегіях відкритості визначає і різний характер «публічності» двох колекцій у цифровому просторі.</w:t>
      </w:r>
    </w:p>
    <w:p w14:paraId="6E3E16AE" w14:textId="77777777" w:rsidR="00135B88" w:rsidRPr="00C04D43" w:rsidRDefault="00F4635C" w:rsidP="00C04D43">
      <w:pPr>
        <w:spacing w:line="360" w:lineRule="auto"/>
        <w:ind w:firstLine="705"/>
        <w:jc w:val="both"/>
        <w:rPr>
          <w:lang w:val="uk-UA"/>
        </w:rPr>
      </w:pPr>
      <w:r>
        <w:rPr>
          <w:lang w:val="uk-UA"/>
        </w:rPr>
        <w:t xml:space="preserve">Варто також визначити структурні обмеження цифрової медіації як виставкової стратегії; ці межі є спільними для обох проаналізованих моделей, але проявляються в них по-різному. Operation Night Watch будує унікальний глядацький досвід частково тому, що в його основі лежить видатний і всесвітньо відомий оригінал. Гігапіксельна зйомка, AI-реконструкція і публічна реставрація отримують свою медіаційну силу від культурної значущості самого об'єкта: «Нічна варта» вже є культурним фактом, до якого відвідувач приходить із власними очікуваннями. Для менш відомих творів або </w:t>
      </w:r>
      <w:r>
        <w:rPr>
          <w:lang w:val="uk-UA"/>
        </w:rPr>
        <w:lastRenderedPageBreak/>
        <w:t>для музеїв, що не мають таких символічних ресурсів, аналогічна стратегія не дасть однакового результату. У випадку Тейт алгоритмічні рекомендації мають обмеження іншого роду: вони ефективно прокладають маршрути між творами, але не замінюють кураторського бачення у визначенні того, які зв'язки є мистецтвознавчо значущими, а які лише поверхнево схожими. Крім того, і Rijksmuseum, і Тейт стикаються із загальним обмеженням [48, с. 63]: жодна виставкова технологія не гарантує якості відвідувацького досвіду: він залишається залежним від попередніх знань, мотивації і особистого контексту кожного відвідувача.</w:t>
      </w:r>
    </w:p>
    <w:p w14:paraId="5EF90A85" w14:textId="77777777" w:rsidR="00135B88" w:rsidRPr="00C04D43" w:rsidRDefault="00F4635C" w:rsidP="00C04D43">
      <w:pPr>
        <w:spacing w:line="360" w:lineRule="auto"/>
        <w:ind w:firstLine="705"/>
        <w:jc w:val="both"/>
        <w:rPr>
          <w:lang w:val="uk-UA"/>
        </w:rPr>
      </w:pPr>
      <w:r>
        <w:rPr>
          <w:lang w:val="uk-UA"/>
        </w:rPr>
        <w:t>Зіставлення цих двох моделей окреслює ширшу типологію цифрової медіації. Обидві стратегії роблять колекцію доступнішою, але «доступність» розуміється по-різному: у Rijksmuseum це доступ до прихованих шарів одного твору, у Тейт – до великого масиву творів через множинні системи навігації. Відповідно різним є і вплив на відвідувацький досвід: перша стратегія поглиблює відносини з конкретним об'єктом, друга розширює обрії колекції для тих, хто не знає, з чого почати. Вибір між ними визначають конкретні особливості колекції, потреби аудиторії та місія закладу, а не перевага однієї моделі над іншою.</w:t>
      </w:r>
    </w:p>
    <w:p w14:paraId="13156D28" w14:textId="77777777" w:rsidR="00135B88" w:rsidRPr="00C04D43" w:rsidRDefault="00F4635C" w:rsidP="00C04D43">
      <w:pPr>
        <w:spacing w:line="360" w:lineRule="auto"/>
        <w:ind w:firstLine="705"/>
        <w:jc w:val="both"/>
        <w:rPr>
          <w:lang w:val="uk-UA"/>
        </w:rPr>
      </w:pPr>
      <w:r>
        <w:rPr>
          <w:lang w:val="uk-UA"/>
        </w:rPr>
        <w:t>Зіставлення цих двох стратегій підтверджує тезу, яка пронизує весь аналіз підрозділу: ефективність цифрової медіації залежить насамперед від міри відповідності між інструментом і конкретною репрезентаційною метою, а не від технологічної складності. Коли ця відповідність досягнута, технологія стає органічною частиною музейної комунікації, а не окремим атракціоном поруч із нею.</w:t>
      </w:r>
    </w:p>
    <w:p w14:paraId="38094D08" w14:textId="77777777" w:rsidR="00135B88" w:rsidRPr="00C04D43" w:rsidRDefault="00F4635C" w:rsidP="00C04D43">
      <w:pPr>
        <w:pStyle w:val="2"/>
        <w:spacing w:after="0"/>
        <w:ind w:firstLine="705"/>
        <w:rPr>
          <w:lang w:val="uk-UA"/>
        </w:rPr>
      </w:pPr>
      <w:bookmarkStart w:id="12" w:name="_Toc231668465"/>
      <w:r>
        <w:rPr>
          <w:lang w:val="uk-UA"/>
        </w:rPr>
        <w:t>2.3. Проблеми та межі цифровізації музейного досвіду</w:t>
      </w:r>
      <w:bookmarkEnd w:id="12"/>
    </w:p>
    <w:p w14:paraId="57DCF9E8" w14:textId="77777777" w:rsidR="00135B88" w:rsidRPr="00C04D43" w:rsidRDefault="00F4635C" w:rsidP="00C04D43">
      <w:pPr>
        <w:spacing w:line="360" w:lineRule="auto"/>
        <w:ind w:firstLine="705"/>
        <w:jc w:val="both"/>
        <w:rPr>
          <w:lang w:val="uk-UA"/>
        </w:rPr>
      </w:pPr>
      <w:r>
        <w:rPr>
          <w:lang w:val="uk-UA"/>
        </w:rPr>
        <w:t xml:space="preserve">Незважаючи на потенціал цифрових інструментів, розглянутий у контексті імерсивних форматів, що сягає гедоністичного виміру досвіду, та медіації колекцій, необхідно окреслити проблеми та структурні межі їхнього застосування. Це важливо, оскільки цифровізація виставкової діяльності не є </w:t>
      </w:r>
      <w:r>
        <w:rPr>
          <w:lang w:val="uk-UA"/>
        </w:rPr>
        <w:lastRenderedPageBreak/>
        <w:t>нейтральною: вона змінює структуру досвіду відвідувача і може ускладнювати належну реалізацію освітньої функції закладу.</w:t>
      </w:r>
    </w:p>
    <w:p w14:paraId="536C167E" w14:textId="77777777" w:rsidR="00135B88" w:rsidRPr="00C04D43" w:rsidRDefault="00F4635C" w:rsidP="00C04D43">
      <w:pPr>
        <w:spacing w:line="360" w:lineRule="auto"/>
        <w:ind w:firstLine="705"/>
        <w:jc w:val="both"/>
        <w:rPr>
          <w:lang w:val="uk-UA"/>
        </w:rPr>
      </w:pPr>
      <w:r>
        <w:rPr>
          <w:lang w:val="uk-UA"/>
        </w:rPr>
        <w:t xml:space="preserve">Характерний тиск, якого зазнають музеї в умовах цифрової трансформації, формується в логіці </w:t>
      </w:r>
      <w:r>
        <w:rPr>
          <w:lang w:val="en-US"/>
        </w:rPr>
        <w:t>economy</w:t>
      </w:r>
      <w:r>
        <w:rPr>
          <w:lang w:val="uk-UA"/>
        </w:rPr>
        <w:t xml:space="preserve"> </w:t>
      </w:r>
      <w:r>
        <w:rPr>
          <w:lang w:val="en-US"/>
        </w:rPr>
        <w:t>of</w:t>
      </w:r>
      <w:r>
        <w:rPr>
          <w:lang w:val="uk-UA"/>
        </w:rPr>
        <w:t xml:space="preserve"> </w:t>
      </w:r>
      <w:r>
        <w:rPr>
          <w:lang w:val="en-US"/>
        </w:rPr>
        <w:t>experience</w:t>
      </w:r>
      <w:r>
        <w:rPr>
          <w:lang w:val="uk-UA"/>
        </w:rPr>
        <w:t>: культурні установи конкурують не стільки як місця збереження й передачі знань, скільки як постачальники запам'ятовуваних переживань. У виставковому контексті це означає конкретне зміщення пріоритетів: ефектність презентації починає визначати позицію закладу у конкурентному середовищі не менше, ніж глибина інтерпретації. Музеї конкурують із тематичними парками, ресторанами і кінотеатрами за увагу відвідувача, і ця конкуренція реально позначається на виставковій стратегії, заохочуючи сенсорне залучення коштом аналітичного [48, с. 59–60]. Ян Крісті в цьому контексті характеризує постмодерний музей як поєднання просвітницького меморіалу і тематичного парку та стверджує, що установа була змушена прийняти своє місце в культурі «демократичного видовища» [37]. Саме ця напруга між репрезентацією та атракцією є одним із центральних структурних викликів, які цифровізація не лише відображає, а й посилює. Коли іммерсивний формат або мультисенсорна інсталяція стають засобом залучення аудиторії і генерують медіаохоплення, виникає спокуса оцінювати виставкову стратегію за цими показниками, замість того, щоб питати, чи відбулася змістовна взаємодія відвідувача з твором. Сіція [65, с. 152] слушно зауважує: орієнтація на залучення через сенсорну ефектність ризикує витіснити те, що відрізняє музей від тематичного парку, – критичний і аналітичний вимір зустрічі з об'єктом.</w:t>
      </w:r>
    </w:p>
    <w:p w14:paraId="74A7B81C" w14:textId="77777777" w:rsidR="00135B88" w:rsidRPr="00C04D43" w:rsidRDefault="00F4635C" w:rsidP="00C04D43">
      <w:pPr>
        <w:spacing w:line="360" w:lineRule="auto"/>
        <w:ind w:firstLine="705"/>
        <w:jc w:val="both"/>
        <w:rPr>
          <w:lang w:val="uk-UA"/>
        </w:rPr>
      </w:pPr>
      <w:r>
        <w:rPr>
          <w:lang w:val="uk-UA"/>
        </w:rPr>
        <w:t xml:space="preserve">Окремо варто розглянути ризики, пов'язані з самою природою технологічної присутності у виставковому просторі. Надмірна насиченість виставки інтерактивними цифровими елементами здатна викликати у відвідувача стан «цифрової втоми» (digital fatigue), за якого здатність до зосередженого сприйняття окремого об'єкта послаблюється [50]. Це обмеження породжує сама логіка накопичення технологічних шарів, а не недоліки окремого рішення в одному просторі: що більше цифрових стимулів </w:t>
      </w:r>
      <w:r>
        <w:rPr>
          <w:lang w:val="uk-UA"/>
        </w:rPr>
        <w:lastRenderedPageBreak/>
        <w:t>конкурують за увагу, то менший простір залишається для спокійного споглядання. До цього додається технологічна залежність вже на організаційному рівні. Ніколау [55, с. 1789–1791] описує системну ситуацію, характерну для музеїв Європи: фахівці змушені витрачати значні ресурси просто на підтримку наявної цифрової інфраструктури в актуальному стані. Через швидке застарівання цифрових форматів, проблеми сумісності програмного забезпечення різних поколінь та невирішені питання права власності на контент будь-яка довгострокова стратегія музею стає вкрай складною для реалізації. Якщо окремий цифровий формат, наприклад, VR-інсталяція чи AR-застосунок, ефективний на момент впровадження, стає функціонально застарілим за кілька років, заклад постає перед дилемою: здійснити чергові витрати на його оновлення чи фактично відмовитися від попередніх інвестицій. Ризик «технологічного занедбання» (technological abandonment) є постійною, а не винятковою характеристикою музейного цифрового середовища [55, с. 1790] і цей тягар нерівномірно розподіляється між великими закладами з розвиненою інфраструктурою і малими музеями, для яких системна цифрова трансформація є практично недоступною без зовнішньої підтримки [10]. Конкретною ілюстрацією цього ризику слугує кейс Музею Фридерика Шопена у Варшаві, реекспозицію якого 2010 року було побудовано навколо понад сімдесяти інтерактивних сенсорних станцій. Емпіричне дослідження засвідчило, що така насиченість екранами радше фрагментує, ніж поглиблює сприйняття: велика кількість сенсорних панелей провокувала когнітивне і сенсорне перевантаження, спонукала відвідувачів до «гіперчитання» – побіжного перегляду й вихоплення окремих фрагментів. У результаті цілісний наратив експозиції розпадався, а найпоширенішим підсумковим відчуттям ставала цифрова втома [41]. Показово й те, що частина молодших відвідувачів сприймала самі інтерфейси як застарілі порівняно зі звичними їм смартфонами, що ілюструє вразливість дороговартісних цифрових рішень до швидкого морального старіння.</w:t>
      </w:r>
    </w:p>
    <w:p w14:paraId="614F104B" w14:textId="77777777" w:rsidR="00135B88" w:rsidRPr="00C04D43" w:rsidRDefault="00F4635C" w:rsidP="00C04D43">
      <w:pPr>
        <w:spacing w:line="360" w:lineRule="auto"/>
        <w:ind w:firstLine="705"/>
        <w:jc w:val="both"/>
        <w:rPr>
          <w:lang w:val="uk-UA"/>
        </w:rPr>
      </w:pPr>
      <w:r>
        <w:rPr>
          <w:lang w:val="uk-UA"/>
        </w:rPr>
        <w:lastRenderedPageBreak/>
        <w:t>Проблема нерівного доступу заслуговує на окрему увагу, оскільки вона ставить під сумнів один із головних аргументів на користь цифровізації – демократизацію доступу до спадщини. Дорогий VR-комплект або AR-застосунок, що вимагає конкретної моделі смартфону, виключає тих відвідувачів, які не мають відповідного обладнання. Ризик нерівного доступу до цифрових форматів залишається значно менш дослідженим, ніж сам потенціал технологій для інклюзивності [50]. Водночас цифровий розрив є питанням не лише технічним, а й етичним: трансформація, що не враховує нерівний доступ до технологій, перерозподіляє ресурси музейного досвіду на користь тих, хто вже є оснащеним, і в результаті звужує реальне охоплення аудиторії замість її розширення [55, с. 1794].</w:t>
      </w:r>
    </w:p>
    <w:p w14:paraId="3130EC7B" w14:textId="77777777" w:rsidR="00135B88" w:rsidRPr="00C04D43" w:rsidRDefault="00F4635C" w:rsidP="00C04D43">
      <w:pPr>
        <w:spacing w:line="360" w:lineRule="auto"/>
        <w:ind w:firstLine="705"/>
        <w:jc w:val="both"/>
        <w:rPr>
          <w:lang w:val="uk-UA"/>
        </w:rPr>
      </w:pPr>
      <w:r>
        <w:rPr>
          <w:lang w:val="uk-UA"/>
        </w:rPr>
        <w:t>Питання про межі цифровізації є питанням про відношення між цифровим і живим досвідом. У дослідженнях цифрового доступу до музейних колекцій зафіксовано, що автентичність переживання залишається першочерговим мотиваційним чинником: цифровий досвід сприймається радше як доповнення до фізичного відвідування, ніж як його замінник [36]. Це узгоджується з позицією Гумбрехта, який у концепції «виробництва присутності» стверджує, що культурні явища повноцінно сприймаються лише через безпосереднє тілесне переживання: досвід, набутий у фізичному просторі, не може бути відтворений цифровими засобами у своїй повноті (цит. за: [10]). Масштаб картини, фактура живопису, просторове відношення між глядачем і полотном є складовими, які цифрова репрезентація відтворює лише частково; жодна з наявних технологій не забезпечує повного еквіваленту фізичного споглядання: кожна відкриває доступ до окремих вимірів об'єкта, але не заміняє цілісного перцептивного досвіду. Звідси практичний висновок: цифровізація є продуктивним інструментом музейної комунікації тоді, коли її функція чітко окреслена – як доповнення, розширення або компенсація конкретного обмеження. Вона стає проблематичною, коли претендує на заміну або коли логіка залучення підміняє якість контакту кількістю технологічних шарів.</w:t>
      </w:r>
    </w:p>
    <w:p w14:paraId="3CECFF5A" w14:textId="77777777" w:rsidR="00135B88" w:rsidRPr="00C04D43" w:rsidRDefault="00F4635C" w:rsidP="00C04D43">
      <w:pPr>
        <w:spacing w:line="360" w:lineRule="auto"/>
        <w:ind w:firstLine="705"/>
        <w:jc w:val="both"/>
        <w:rPr>
          <w:lang w:val="uk-UA"/>
        </w:rPr>
      </w:pPr>
      <w:r>
        <w:rPr>
          <w:lang w:val="uk-UA"/>
        </w:rPr>
        <w:lastRenderedPageBreak/>
        <w:t>Окреслені проблеми складаються у взаємопов'язану систему ризиків, а не у випадковий набір недоліків: зміщення від інтерпретації до видовищності, фрагментація уваги, технологічна залежність і нерівний доступ до обладнання виникають там, де цифровий формат підпорядкований логіці залучення, а не репрезентації. Жодна з цих проблем не є неминучою, але жодна не зникає сама по собі – кожна потребує свідомого кураторського і стратегічного рішення. Ігнорування цих обмежень не робить цифровізацію ефективнішою: воно лише переміщує її наслідки з поля видимого аналізу в поле непоміченої практики. Саме тому їхнє осмислення є необхідною умовою будь-якої відповідальної виставкової стратегії – незалежно від того, чи йдеться про великий столичний музей, чи про невеликий регіональний заклад, що лише починає цифрову трансформацію.</w:t>
      </w:r>
    </w:p>
    <w:p w14:paraId="6B0D0346" w14:textId="77777777" w:rsidR="00135B88" w:rsidRPr="00C04D43" w:rsidRDefault="00F4635C" w:rsidP="00C04D43">
      <w:pPr>
        <w:pStyle w:val="2"/>
        <w:spacing w:before="240" w:after="0"/>
        <w:jc w:val="center"/>
        <w:rPr>
          <w:lang w:val="uk-UA"/>
        </w:rPr>
      </w:pPr>
      <w:bookmarkStart w:id="13" w:name="_Toc231668466"/>
      <w:r>
        <w:rPr>
          <w:i/>
          <w:iCs/>
          <w:lang w:val="uk-UA"/>
        </w:rPr>
        <w:t>Висновки до розділу 2</w:t>
      </w:r>
      <w:bookmarkEnd w:id="13"/>
    </w:p>
    <w:p w14:paraId="6D437DA0" w14:textId="77777777" w:rsidR="00135B88" w:rsidRPr="00C04D43" w:rsidRDefault="00F4635C" w:rsidP="00C04D43">
      <w:pPr>
        <w:spacing w:line="360" w:lineRule="auto"/>
        <w:ind w:firstLine="705"/>
        <w:jc w:val="both"/>
        <w:rPr>
          <w:lang w:val="uk-UA"/>
        </w:rPr>
      </w:pPr>
      <w:r>
        <w:rPr>
          <w:lang w:val="uk-UA"/>
        </w:rPr>
        <w:t>Аналіз, проведений у другому розділі, дозволяє стверджувати: цифрові технології трансформували не лише технічний інструментарій музейної репрезентації, а й саму модель відносин між музеєм, експонатом і відвідувачем. Традиційна виставкова педагогіка, описана Гупер-Грінгіл як «педагогіка передачі», передбачала односпрямований рух знання від інституції до аудиторії. Цифрові формати такі, як іммерсивний простір, інтерактивна медіація, гігапіксельна документація, AI-реконструкція, порушують цю лінійність і відкривають для відвідувача нові рівні взаємодії з об'єктом: не лише інформаційний, а й перцептивний, асоціативний, часом тілесний.</w:t>
      </w:r>
    </w:p>
    <w:p w14:paraId="5137643A" w14:textId="77777777" w:rsidR="00135B88" w:rsidRPr="00C04D43" w:rsidRDefault="00F4635C" w:rsidP="00C04D43">
      <w:pPr>
        <w:spacing w:line="360" w:lineRule="auto"/>
        <w:ind w:firstLine="705"/>
        <w:jc w:val="both"/>
        <w:rPr>
          <w:lang w:val="uk-UA"/>
        </w:rPr>
      </w:pPr>
      <w:r>
        <w:rPr>
          <w:lang w:val="uk-UA"/>
        </w:rPr>
        <w:t xml:space="preserve">Міжнародні кейси, розглянуті у підрозділах 2.1 і 2.2, засвідчують різноманіття виставкових стратегій, що виникли на перетині цифрових можливостей і кураторської думки. VR-проєкт Лувру «Mona Lisa: Beyond the Glass» перетворив фізичне обмеження – недосяжність картини для більшості відвідувачів – на медіаційну можливість: цифровий простір надав доступ до тих вимірів твору, які за умов класичного огляду залишалися невидимими. Operation Night Watch у Rijksmuseum реалізував іншу логіку: публічна </w:t>
      </w:r>
      <w:r>
        <w:rPr>
          <w:lang w:val="uk-UA"/>
        </w:rPr>
        <w:lastRenderedPageBreak/>
        <w:t>реставрація у скляній камері, гігапіксельна зйомка і AI-реконструкція втрачених секцій разом сформували стратегію, за якої наукова робота з об'єктом стала сама по собі виставковим досвідом. Тейт, своєю чергою, обрав горизонтальну цифрову архітектуру: систему метаданих, рекомендаційні алгоритми і мультимедійний гід, що забезпечують множинні маршрути крізь масив колекції. Ці приклади не зводяться до одного типу рішення, але об'єднані спільним принципом: у кожному з них технологія підпорядкована конкретній репрезентаційній меті, а не існує як автономний атракціон.</w:t>
      </w:r>
    </w:p>
    <w:p w14:paraId="550CDDB6" w14:textId="77777777" w:rsidR="00135B88" w:rsidRPr="00C04D43" w:rsidRDefault="00F4635C" w:rsidP="00C04D43">
      <w:pPr>
        <w:spacing w:line="360" w:lineRule="auto"/>
        <w:ind w:firstLine="705"/>
        <w:jc w:val="both"/>
        <w:rPr>
          <w:lang w:val="uk-UA"/>
        </w:rPr>
      </w:pPr>
      <w:r>
        <w:rPr>
          <w:lang w:val="uk-UA"/>
        </w:rPr>
        <w:t>Саме ця підпорядкованість, або її відсутність, визначає, чи справляє цифровий формат реальний вплив на відвідувацький досвід. Коли виставкова технологія інтегрована в кураторську концепцію, вона здатна одночасно реалізовувати обидва виміри, виокремлені моделлю MEUX: прагматичний – через точну і доступну подачу верифікованого знання, і гедоністичний – через якість самого переживання. Коли ж технологія залишається декоративною або самодостатньою, відбувається характерна підміна: видовище витісняє інтерпретацію.</w:t>
      </w:r>
    </w:p>
    <w:p w14:paraId="69A26462" w14:textId="77777777" w:rsidR="00135B88" w:rsidRPr="00C04D43" w:rsidRDefault="00F4635C" w:rsidP="00C04D43">
      <w:pPr>
        <w:spacing w:line="360" w:lineRule="auto"/>
        <w:ind w:firstLine="705"/>
        <w:jc w:val="both"/>
        <w:rPr>
          <w:lang w:val="uk-UA"/>
        </w:rPr>
      </w:pPr>
      <w:r>
        <w:rPr>
          <w:lang w:val="uk-UA"/>
        </w:rPr>
        <w:t>Логіка economy of experience тисне на музеї як на постачальників запам'ятовуваних переживань, і ця тенденція реально позначається на виставкових рішеннях. Відвідувач може фізично перебувати у виставковому просторі і фактично не взаємодіяти з його змістом – феномен, зафіксований у польових дослідженнях і симптоматичний для цілої тенденції, а не лише для окремого закладу. Водночас це не є підставою для огульної критики цифрових форматів, а радше вказівка на те, що виставковий дизайн несе відповідальність за те, як він скеровує або ігнорує ці практики.</w:t>
      </w:r>
    </w:p>
    <w:p w14:paraId="15F1F891" w14:textId="77777777" w:rsidR="00135B88" w:rsidRPr="00C04D43" w:rsidRDefault="00F4635C" w:rsidP="00C04D43">
      <w:pPr>
        <w:spacing w:line="360" w:lineRule="auto"/>
        <w:ind w:firstLine="705"/>
        <w:jc w:val="both"/>
        <w:rPr>
          <w:lang w:val="uk-UA"/>
        </w:rPr>
      </w:pPr>
      <w:r>
        <w:rPr>
          <w:lang w:val="uk-UA"/>
        </w:rPr>
        <w:t xml:space="preserve">До системних обмежень цифровізації належать і питання, що виходять за межі конкретної виставки. Швидке старіння форматів, несумісність програмного забезпечення, ресурсоємність підтримки інфраструктури робить будь-яку довгострокову цифрову стратегію вразливою, особливо для невеликих закладів. Цифровий розрив, пов'язаний із нерівним доступом до обладнання і цифрової грамотності, підважує саму ідею демократизації, яка </w:t>
      </w:r>
      <w:r>
        <w:rPr>
          <w:lang w:val="uk-UA"/>
        </w:rPr>
        <w:lastRenderedPageBreak/>
        <w:t>часто слугує обґрунтуванням цифрових ініціатив. Нарешті, жодна технологія не відтворює у повноті фізичного досвіду присутності перед оригіналом: масштабу, фактури, просторового відношення між глядачем і полотном. Ідеться про принципову межу, а не про ваду конкретного рішення, яку визнання не знецінює, а навпаки, дозволяє розподіляти функції між цифровим і фізичним досвідом коректно.</w:t>
      </w:r>
    </w:p>
    <w:p w14:paraId="7ED99AE7" w14:textId="77777777" w:rsidR="00135B88" w:rsidRPr="00C04D43" w:rsidRDefault="00F4635C" w:rsidP="00C04D43">
      <w:pPr>
        <w:spacing w:line="360" w:lineRule="auto"/>
        <w:ind w:firstLine="705"/>
        <w:jc w:val="both"/>
        <w:rPr>
          <w:lang w:val="uk-UA"/>
        </w:rPr>
      </w:pPr>
      <w:r>
        <w:rPr>
          <w:lang w:val="uk-UA"/>
        </w:rPr>
        <w:t>Загальний висновок розділу може бути сформульований так: ефективність цифровізації у музейно-виставковій практиці визначається мірою відповідності рішень конкретній репрезентаційній меті, а не їх кількістю чи технологічною новизною. Цифрові інструменти здатні суттєво розширити поле музейної комунікації: зробити видимим приховане і поглибити інтерпретацію, долаючи фізичні обмеження доступу. Але ця здатність реалізується лише тоді, коли технологічне рішення вбудоване в кураторську логіку, а не підміняє її. Питання, яке залишається актуальним як для міжнародної, так і для вітчизняної практики, не «які технології застосовує музей», а «навіщо і яку функцію у взаємодії відвідувача з твором вони виконують».</w:t>
      </w:r>
    </w:p>
    <w:p w14:paraId="7D189403" w14:textId="77777777" w:rsidR="00135B88" w:rsidRPr="00C04D43" w:rsidRDefault="00F4635C" w:rsidP="00C04D43">
      <w:pPr>
        <w:pStyle w:val="1"/>
        <w:pageBreakBefore/>
        <w:spacing w:after="0"/>
        <w:rPr>
          <w:lang w:val="uk-UA"/>
        </w:rPr>
      </w:pPr>
      <w:bookmarkStart w:id="14" w:name="_Toc231668467"/>
      <w:r>
        <w:rPr>
          <w:caps/>
          <w:lang w:val="uk-UA"/>
        </w:rPr>
        <w:lastRenderedPageBreak/>
        <w:t>Розділ 3. Український досвід упровадження цифрових технологій та збереження спадщини</w:t>
      </w:r>
      <w:bookmarkEnd w:id="14"/>
    </w:p>
    <w:p w14:paraId="32F34049" w14:textId="77777777" w:rsidR="00135B88" w:rsidRPr="00C04D43" w:rsidRDefault="00F4635C" w:rsidP="00C04D43">
      <w:pPr>
        <w:pStyle w:val="2"/>
        <w:spacing w:after="0"/>
        <w:ind w:firstLine="705"/>
        <w:rPr>
          <w:lang w:val="uk-UA"/>
        </w:rPr>
      </w:pPr>
      <w:bookmarkStart w:id="15" w:name="_Toc231668468"/>
      <w:r>
        <w:rPr>
          <w:lang w:val="uk-UA"/>
        </w:rPr>
        <w:t>3.1. Цифровізація музейних колекцій та віртуалізація виставкових просторів в Україні</w:t>
      </w:r>
      <w:bookmarkEnd w:id="15"/>
    </w:p>
    <w:p w14:paraId="38F5FA79" w14:textId="77777777" w:rsidR="00135B88" w:rsidRPr="00C04D43" w:rsidRDefault="00F4635C" w:rsidP="00C04D43">
      <w:pPr>
        <w:spacing w:line="360" w:lineRule="auto"/>
        <w:ind w:firstLine="705"/>
        <w:jc w:val="both"/>
        <w:rPr>
          <w:lang w:val="uk-UA"/>
        </w:rPr>
      </w:pPr>
      <w:r>
        <w:rPr>
          <w:lang w:val="uk-UA"/>
        </w:rPr>
        <w:t>Перехід від аналізу міжнародного досвіду застосування цифрових технологій до сучасних українських реалій вимагає переосмислення базових теоретичних підходів. Концепція «економіки вражень» та модель MEUX [48], які у стабільних умовах базуються на синхронному балансі прагматичного і гедоністичного вимірів, зберігають свою актуальність, проте трансформуються під впливом кризового контексту. Традиційно ці моделі описують конкуренцію за вільний час відвідувача. В умовах війни, коли значна частина музейних просторів фізично недоступна через евакуацію колекцій або руйнування будівель, ця логіка дозвілля змінюється, але не зникає. Сам факт продовження музеями виставкової і цифрової діяльності під час бойових дій можна інтерпретувати як ознаку збереження суспільної потреби в музеї як просторі рефлексії та безпеки, хоча кількісна оцінка цього попиту потребує окремого дослідження аудиторії. Однак, на відміну від західних кейсів, де прагматика і задоволення реалізуються одночасно завдяки стратегіям в умовах стабільності, у порівнянні з українськими реаліями, зокрема цифровими, у вітчизняній практиці ці виміри нерідко розводяться в часі або набувають якісно іншого змісту: гедоністичний вимір реалізується через акт рефлексії над переживанням втрати, а не через традиційну розвагу чи іммерсивність, усвідомленням відсутності.</w:t>
      </w:r>
    </w:p>
    <w:p w14:paraId="4F96D883" w14:textId="77777777" w:rsidR="00135B88" w:rsidRPr="00C04D43" w:rsidRDefault="00F4635C" w:rsidP="00C04D43">
      <w:pPr>
        <w:spacing w:line="360" w:lineRule="auto"/>
        <w:ind w:firstLine="705"/>
        <w:jc w:val="both"/>
        <w:rPr>
          <w:lang w:val="uk-UA"/>
        </w:rPr>
      </w:pPr>
      <w:r>
        <w:rPr>
          <w:lang w:val="uk-UA"/>
        </w:rPr>
        <w:t xml:space="preserve">Питання цифровізації музейної справи не виникло в Україні разом із кризами 2020-х. Дослідники фіксували необхідність системного переходу до цифрових форматів ще у другій половині 2010-х років [22;21], проте до реальної інституційної відповіді доходило рідко: брак фінансування, кадровий дефіцит і незавершена нормативна рамка утримували більшість музеїв у стані часткової цифрової присутності. Злам цієї інституційної інерції відбувся лише тоді, коли цифровий інструментарій став єдиною можливою формою </w:t>
      </w:r>
      <w:r>
        <w:rPr>
          <w:lang w:val="uk-UA"/>
        </w:rPr>
        <w:lastRenderedPageBreak/>
        <w:t>репрезентації колекцій. Пандемія COVID-19 у 2020 році стала першим масовим тестом: закриття залів поставило питання про здатність музею підтримувати зв'язок з аудиторією без фізичного доступу. Повномасштабна війна, розпочата Росією у лютому 2022 року, змінила саму логіку цього переходу: цифровий ресурс перестав бути питанням комунікаційної ефективності й став питанням збереження спадщини та підтвердження прав на неї.</w:t>
      </w:r>
    </w:p>
    <w:p w14:paraId="68FCEA49" w14:textId="77777777" w:rsidR="0070563D" w:rsidRPr="00C04D43" w:rsidRDefault="0070563D" w:rsidP="00C04D43">
      <w:pPr>
        <w:spacing w:line="360" w:lineRule="auto"/>
        <w:ind w:firstLine="705"/>
        <w:jc w:val="both"/>
        <w:rPr>
          <w:lang w:val="uk-UA"/>
        </w:rPr>
      </w:pPr>
      <w:r>
        <w:rPr>
          <w:lang w:val="uk-UA"/>
        </w:rPr>
        <w:t>Нормативне підґрунтя цифровізації музейної сфери в Україні формувалося поетапно і донедавна залишалося незавершеним. Базовим є Закон України «Про музеї та музейну справу» (1995), який визначає поняття музейного обліку, закріплює збереження Музейного фонду пріоритетом державної політики та відносить облікову роботу до основних напрямів діяльності музею [11]. Положення про Музейний фонд України (постанова КМУ № 1147 від 20.07.2000) регламентує порядок обліку предметів і передбачає можливість його ведення в електронній формі (п. 24) [25]. Наказ Міністерства культури № 943 від 05.11.2014 зобов'язав музеї здійснити цифрове фотокопіювання інвентарних книг і зберегти копії на електронних носіях [26]. Інструкція з організації обліку музейних предметів (наказ МКУ № 580 від 21.07.2016) закріпила можливість ведення облікових книг та картотек у цифровому форматі і відсилала до окремого Порядку обліку музейних предметів в електронній формі [24]. Саме цей Порядок втратив чинність у 2021 році без системної заміни. Як фіксують В. Парадиз і Н. Ковальчук, від того часу й щонайменше до 2024 року в нормативній базі залишалася прогалина: бракувало єдиного документа з чіткими вимогами до метаданих і юридичного статусу електронного запису [24]. В. Орищук розглядає цю ситуацію як один із структурних стримувачів цифрової трансформації: відсутність систематизованої державної політики щодо цифрових архівів ускладнює як стандартизацію процесів, так і їхнє цільове фінансування [21].</w:t>
      </w:r>
    </w:p>
    <w:p w14:paraId="49B4E469" w14:textId="77777777" w:rsidR="0070563D" w:rsidRPr="00C04D43" w:rsidRDefault="0070563D" w:rsidP="00C04D43">
      <w:pPr>
        <w:spacing w:line="360" w:lineRule="auto"/>
        <w:ind w:firstLine="705"/>
        <w:jc w:val="both"/>
        <w:rPr>
          <w:lang w:val="uk-UA"/>
        </w:rPr>
      </w:pPr>
      <w:r>
        <w:rPr>
          <w:lang w:val="uk-UA"/>
        </w:rPr>
        <w:t xml:space="preserve">Часткову відповідь на цю прогалину держава сформулювала наприкінці 2025 року: постановою Кабінету Міністрів України № 1389 від 29 жовтня 2025 </w:t>
      </w:r>
      <w:r>
        <w:rPr>
          <w:lang w:val="uk-UA"/>
        </w:rPr>
        <w:lastRenderedPageBreak/>
        <w:t>року запроваджено дворічний експериментальний проєкт Реєстру Музейного фонду України – інформаційно-комунікаційної системи обліку, інвентаризації, переміщення та розшуку музейних предметів державної частини фонду [27]. Постанова закріплює подвійний облік: електронний запис у Реєстрі ведеться одночасно з паперовим у книгах обліку за чинною Інструкцією № 580, тобто цифрова форма доповнює, а не заміщує традиційну. Прикметно, що серед задекларованих цілей системи – не лише облік, а й контроль за переміщенням і оголошення в розшук викрадених чи зниклих предметів, що прямо відповідає на загрози воєнного часу. Водночас пілотний статус проєкту й те, що він стосується винятково державної частини фонду, означають, що говорити про остаточне закриття нормативної прогалини передчасно, а практичні результати запровадження Реєстру ще не стали предметом наукового аналізу.</w:t>
      </w:r>
    </w:p>
    <w:p w14:paraId="3BAB6D95" w14:textId="77777777" w:rsidR="0070563D" w:rsidRPr="00C04D43" w:rsidRDefault="0070563D" w:rsidP="00C04D43">
      <w:pPr>
        <w:spacing w:line="360" w:lineRule="auto"/>
        <w:ind w:firstLine="705"/>
        <w:jc w:val="both"/>
        <w:rPr>
          <w:lang w:val="uk-UA"/>
        </w:rPr>
      </w:pPr>
      <w:r>
        <w:rPr>
          <w:lang w:val="uk-UA"/>
        </w:rPr>
        <w:t>Наведені документи регулюють цифровий облік предметів фонду – внутрішньоінституційну фіксацію з адміністративною та правовою функцією. Цифрова виставкова комунікація – формування онлайн-присутності, організація публічного доступу до колекцій, взаємодія з аудиторією через цифрові канали – залишається поза предметом цих актів, зокрема й нового Реєстру, орієнтованого на облікові, а не на виставкові завдання. Відповідно, в умовах відсутності профільного регулювання виставкового виміру більшість закладів вибудовували цифрову присутність через власну ініціативу або зовнішні партнерства [2; 21]. Саме цей розрив між нормативно оформленим обліком і нерегульованою виставковою комунікацією визначає контекст, у якому розвивалася вітчизняна практика цифровізації.</w:t>
      </w:r>
    </w:p>
    <w:p w14:paraId="3A97B403" w14:textId="77777777" w:rsidR="00135B88" w:rsidRPr="00C04D43" w:rsidRDefault="00F4635C" w:rsidP="00C04D43">
      <w:pPr>
        <w:spacing w:line="360" w:lineRule="auto"/>
        <w:ind w:firstLine="705"/>
        <w:jc w:val="both"/>
        <w:rPr>
          <w:lang w:val="uk-UA"/>
        </w:rPr>
      </w:pPr>
      <w:r>
        <w:rPr>
          <w:lang w:val="uk-UA"/>
        </w:rPr>
        <w:t xml:space="preserve">Національний музей мистецтв імені Богдана та Варвари Ханенків є характерним прикладом інституційного формування цифрової виставкової присутності. Цифрова історія віртуалізації Музею Ханенків розпочалася у 2019 році зі створення 3D-турів у партнерстві з компанією Inside Production (іл. 3.1) на базі технології Matterport: тур давав змогу оглянути зали музею з довоєнною постійною експозицією, зокрема зали «Європейське мистецтво </w:t>
      </w:r>
      <w:r>
        <w:rPr>
          <w:lang w:val="uk-UA"/>
        </w:rPr>
        <w:lastRenderedPageBreak/>
        <w:t>XIV–XIX ст.» і «Ранньовізантійські ікони VI–VII ст.» [71]. Після запуску цей цифровий ресурс використовувався у період пандемійних обмежень 2020–2021 років, коли фізичний доступ до музею був ускладнений і цифрові формати набули функції дистанційного доступу до експозиції.</w:t>
      </w:r>
    </w:p>
    <w:p w14:paraId="68E1AA7C" w14:textId="77777777" w:rsidR="00135B88" w:rsidRPr="00C04D43" w:rsidRDefault="00F4635C" w:rsidP="00C04D43">
      <w:pPr>
        <w:spacing w:line="360" w:lineRule="auto"/>
        <w:ind w:firstLine="705"/>
        <w:jc w:val="both"/>
        <w:rPr>
          <w:lang w:val="uk-UA"/>
        </w:rPr>
      </w:pPr>
      <w:r>
        <w:rPr>
          <w:lang w:val="uk-UA"/>
        </w:rPr>
        <w:t>Наразі довоєнні 3D-тури недоступні у відкритому доступі [4]; натомість на офіційних платформах музею представлено нову серію віртуальних турів, що включає виставку «Солдатики», інтер'єри будинку на Терещенківській 15 та виставку «Тим часом в домі Ханенків». Ці цифрові продукти відображають зміну цифрової присутності музею в умовах війни та трансформації інституційної функції. Сам музей зазначає: «Усі тури були створені вже після початку повномасштабної війни, тож не фіксують довоєнного вигляду музею. Проте саме такими простори музею зустрічають своїх відвідувачів зараз – у період відновлення, адаптації та відкритості» [17]. Зміна 3D-турів засвідчує внутрішню трансформацію цифрової стратегії музею: перехід від фіксації довоєнної експозиції до формування виставкових кейсів, що відображають актуальну інституційну позицію.</w:t>
      </w:r>
    </w:p>
    <w:p w14:paraId="34563741" w14:textId="77777777" w:rsidR="00135B88" w:rsidRPr="00C04D43" w:rsidRDefault="00F4635C" w:rsidP="00C04D43">
      <w:pPr>
        <w:spacing w:line="360" w:lineRule="auto"/>
        <w:ind w:firstLine="705"/>
        <w:jc w:val="both"/>
        <w:rPr>
          <w:lang w:val="uk-UA"/>
        </w:rPr>
      </w:pPr>
      <w:r>
        <w:rPr>
          <w:lang w:val="uk-UA"/>
        </w:rPr>
        <w:t xml:space="preserve">Цей кейс демонструє, як функція цифрового ресурсу змінюється залежно від умов доступу до фізичної експозиції. У ситуації, коли фізичне відвідування музею є доступним, 3D-тури виконують переважно допоміжну функцію. Їх розглядають насамперед у гедоністичному вимірі – як засіб, що збагачує враження, розширює охоплення та посилює емоційний і візуальний досвід взаємодії з експозицією. У випадку обмеження або втрати фізичного доступу той самий цифровий інструмент набуває іншого функціонального статусу – від додаткового ресурсу до основного каналу взаємодії з музейним простором, що змінює баланс між його естетично-досвідною та прагматичною функціями. У цьому сенсі вимоги до цифрового ресурсу – зокрема щодо повноти, точності та навігаційної зручності – є сталими, однак у ситуації заміщення фізичного досвіду вони стають більш критично актуалізованими та виходять на перший план. Приклад Музею Ханенків показує зміну не стільки в самій технології, скільки в способі її використання, який залежить від </w:t>
      </w:r>
      <w:r>
        <w:rPr>
          <w:lang w:val="uk-UA"/>
        </w:rPr>
        <w:lastRenderedPageBreak/>
        <w:t>зовнішніх умов і трансформує її роль у музейній комунікації. Така трансформація в цьому прикладі зумовлена військовими діями та переосмисленням інституційної комунікаційної стратегії музею.</w:t>
      </w:r>
    </w:p>
    <w:p w14:paraId="6A929B24" w14:textId="77777777" w:rsidR="0054689F" w:rsidRPr="00C04D43" w:rsidRDefault="00F4635C" w:rsidP="00C04D43">
      <w:pPr>
        <w:spacing w:line="360" w:lineRule="auto"/>
        <w:ind w:firstLine="705"/>
        <w:jc w:val="both"/>
        <w:rPr>
          <w:lang w:val="uk-UA"/>
        </w:rPr>
      </w:pPr>
      <w:r>
        <w:rPr>
          <w:lang w:val="uk-UA"/>
        </w:rPr>
        <w:t>Інакше кажучи, якість цифрового ресурсу, достатня для доповнення фізичного досвіду, не обов'язково є достатньою для його заміщення. Тур, знятий із метою показати атмосферу залів потенційному відвідувачеві, і тур як єдина точка доступу до колекції для людини, яка не може побачити колекцію фізично, – це різні функціональні завдання, навіть якщо технічний об'єкт ідентичний. У вимірах MEUX прагматичний вимір у другому випадку набуває ваги, для якої ресурс не проектувався. Ханенківський кейс є наочним прикладом цього розриву між задумом інструменту і умовами його використання – розриву, що став видимим лише тоді, коли зовнішня ситуація радикально змінилася. Слід, однак, зберігати критичну дистанцію щодо самопрезентації музею. Вичерпна оцінка якості віртуальних турів виходить за межі наявних джерел і потребує залучення фахівців із цифрових рішень. Проте навіть з позиції базового користувацького досвіду можна виокремити низку проблемних аспектів, які можуть стати предметом уваги для технічних спеціалістів. Серед них: фрагментована навігація, що обмежує заявлене вільне переміщення залами, видимі «склейки» та втрата роздільної здатності при наближенні та неможливість ознайомитися з текстовим супроводом виставки. Ці емпіричні спостереження лише підкреслюють ускладнені умови створення турів. Інституція працювала в реаліях воєнного часу, де оперативність фіксації простору заради його збереження мала абсолютний пріоритет, що цілком виправдовує неминучі технологічні компроміси.</w:t>
      </w:r>
    </w:p>
    <w:p w14:paraId="1556AED0" w14:textId="77777777" w:rsidR="00135B88" w:rsidRPr="00C04D43" w:rsidRDefault="00F4635C" w:rsidP="00C04D43">
      <w:pPr>
        <w:spacing w:line="360" w:lineRule="auto"/>
        <w:ind w:firstLine="705"/>
        <w:jc w:val="both"/>
        <w:rPr>
          <w:lang w:val="uk-UA"/>
        </w:rPr>
      </w:pPr>
      <w:r>
        <w:rPr>
          <w:lang w:val="uk-UA"/>
        </w:rPr>
        <w:t xml:space="preserve">Водночас приклад Ханенків спростовує спрощену логіку «без постійної колекції музей не функціонує як виставковий простір». З евакуацією зібрання музей переформатував виставкову роботу замість того, щоб її припинити: зали, з яких вилучили твори, заповнили проєкти сучасних художників. Найбільш масштабним став проєкт «Тим часом у домі Ханенків» (березень–квітень 2023 р., кураторство Катерини Лібкінд), де порожній простір </w:t>
      </w:r>
      <w:r>
        <w:rPr>
          <w:lang w:val="uk-UA"/>
        </w:rPr>
        <w:lastRenderedPageBreak/>
        <w:t>класичного музею став майданчиком для сучасного мистецтва [15], який отримав своє відображення і в 3</w:t>
      </w:r>
      <w:r>
        <w:rPr>
          <w:lang w:val="en-US"/>
        </w:rPr>
        <w:t>D</w:t>
      </w:r>
      <w:r>
        <w:rPr>
          <w:lang w:val="uk-UA"/>
        </w:rPr>
        <w:t>-турі. Паралельно розвинулась концертна програма: цикли виконань Валентина Сильвестрова, електронна музика, сучасна опера [16]. У грудні 2024 року Міжнародний комітет музеїв і колекцій сучасного мистецтва CIMAM відзначив цей досвід нагородою Outstanding Museum Practice Award – за «переосмислення своєї ролі під час війни та перетворення свого простору на центр солідарності, безпеки й стійкості» [7]. Директорка музею Юлія Ваганова прокоментувала нагороду так: «Це про те, що не тільки колекція має значення, а й наші практики і програми, аби музей працював для блага суспільства» [7].</w:t>
      </w:r>
    </w:p>
    <w:p w14:paraId="397D2945" w14:textId="77777777" w:rsidR="00135B88" w:rsidRPr="00C04D43" w:rsidRDefault="00F4635C" w:rsidP="00C04D43">
      <w:pPr>
        <w:spacing w:line="360" w:lineRule="auto"/>
        <w:ind w:firstLine="705"/>
        <w:jc w:val="both"/>
        <w:rPr>
          <w:lang w:val="uk-UA"/>
        </w:rPr>
      </w:pPr>
      <w:r>
        <w:rPr>
          <w:lang w:val="uk-UA"/>
        </w:rPr>
        <w:t>Кураторська логіка цього переформатування не є суто ситуативною адаптацією до відсутності об'єктів. Порожній зал  не є просто залом без картин: архітектура, сліди на стінах, відстані між контурами вилучених рамок стають матеріалом для сприйняття. У теорії виставкового простору, розробленій Браяном О'Догерті у праці «Всередині білого куба: ідеологія галерейного простору», порожній галерейний простір несе власне значення незалежно від присутності об'єктів – він задає умови сприйняття і сам є висловлюванням [56, с. 14–34]. Рішення Ханенків вписується у цю традицію – з тією різницею, що кураторський вибір тут виник із вимушених, а не естетичних обставин. Те, що Гупер-Грінгіл описує як інституційний вибір на користь комунікативної, а не трансляційної музейної моделі [46, с. 124–127], реалізується тут як адаптація до надзвичайних обставин – але кураторський намір від цього не стає менш значущим.</w:t>
      </w:r>
    </w:p>
    <w:p w14:paraId="11A50F64" w14:textId="77777777" w:rsidR="00135B88" w:rsidRPr="00C04D43" w:rsidRDefault="00F4635C" w:rsidP="00C04D43">
      <w:pPr>
        <w:spacing w:line="360" w:lineRule="auto"/>
        <w:ind w:firstLine="705"/>
        <w:jc w:val="both"/>
        <w:rPr>
          <w:lang w:val="uk-UA"/>
        </w:rPr>
      </w:pPr>
      <w:r>
        <w:rPr>
          <w:lang w:val="uk-UA"/>
        </w:rPr>
        <w:t xml:space="preserve">Дещо інакше розставляє акценти Національний художній музей України. Постійна колекція НХМУ – понад 40 000 одиниць зберігання – з початку повномасштабного вторгнення перебуває в евакуації і закрита для публічного огляду [19]. Першою значною цифровою ініціативою музею в цих умовах стала участь у проєкті «Україна поруч» (Ukraine is Here) на платформі Google Arts &amp; Culture у листопаді 2022 року – спільний проєкт Google і Міністерства культури та інформаційної політики України за участі десяти </w:t>
      </w:r>
      <w:r>
        <w:rPr>
          <w:lang w:val="uk-UA"/>
        </w:rPr>
        <w:lastRenderedPageBreak/>
        <w:t>українських культурних інституцій, серед яких НХМУ [14]. Задум проєкту прямо пов'язаний із воєнною ситуацією: музеї закрилися, фізичний доступ до культурних установ різко обмежився, і в музейному середовищі виникла потреба перенести мистецтво в онлайн – «щоб люди могли побачити і досліджувати його» [8]. На рівні державної риторики проєкт позиціонувався як такий, що «водночас зберігає українську культуру й робить її популярнішою у світі» [72]. Тобто від початку він мав два виміри: забезпечення внутрішнього доступу і формування міжнародної видимості України в умовах активних бойових дій. Чи були обидва реалізовані – питання, яке потребує окремого дослідження з доступом до аналітики платформи. Важливіше інше: сам факт такого позиціонування фіксує, що НХМУ від початку розглядав цифрову присутність передусім як канал культурної дипломатії, а не як інструмент роботи з наявною аудиторією – логіка, яка не має аналогів у розглянутих міжнародних кейсах розділу 2.</w:t>
      </w:r>
    </w:p>
    <w:p w14:paraId="044C2235" w14:textId="77777777" w:rsidR="00135B88" w:rsidRPr="00C04D43" w:rsidRDefault="00F4635C" w:rsidP="00C04D43">
      <w:pPr>
        <w:spacing w:line="360" w:lineRule="auto"/>
        <w:ind w:firstLine="705"/>
        <w:jc w:val="both"/>
        <w:rPr>
          <w:lang w:val="uk-UA"/>
        </w:rPr>
      </w:pPr>
      <w:r>
        <w:rPr>
          <w:lang w:val="uk-UA"/>
        </w:rPr>
        <w:t>У серпні 2025 року НХМУ разом із командою єМузей та компанією Imersum представив повне 3D-відтворення своїх виставкових залів на платформі emuseum.ua (іл. 3.2) – кожен зал музею відтворено у тривимірному просторі із збереженням історичної архітектури та атмосфери [18]. НХМУ став першим в Україні національним музеєм, повністю перенесеним у віртуальну реальність [54]. На платформі доступні дві виставки: «Шедеври NAMU» і «Український портрет XVII–XX ст.» – реконструкція виставки 1925 року, організованої Данилом Щербаківським і Федором Ернстом.</w:t>
      </w:r>
    </w:p>
    <w:p w14:paraId="77C90B8A" w14:textId="77777777" w:rsidR="00135B88" w:rsidRPr="00C04D43" w:rsidRDefault="00F4635C" w:rsidP="00C04D43">
      <w:pPr>
        <w:spacing w:line="360" w:lineRule="auto"/>
        <w:ind w:firstLine="705"/>
        <w:jc w:val="both"/>
        <w:rPr>
          <w:lang w:val="uk-UA"/>
        </w:rPr>
      </w:pPr>
      <w:r>
        <w:rPr>
          <w:lang w:val="uk-UA"/>
        </w:rPr>
        <w:t xml:space="preserve">Запуску цифрової реконструкції передував важливий музейний факт. У травні 2025 року НХМУ отримав «Жіночий портрет» Владислава Галімського (1898) – перший твір із колекції, повернутий після незаконного вивезення під час Другої світової війни: роботу виявили у 2018 році на аукціоні в одній із європейських країн, ідентифікацію здійснено через облікові документи музею та довоєнні матеріали за участі Служби зовнішньої розвідки України [9]. Попри те що постійна колекція залишалася в евакуації, музей показав «Жіночий портрет» у залах як тимчасову експозицію – одна з форм </w:t>
      </w:r>
      <w:r>
        <w:rPr>
          <w:lang w:val="uk-UA"/>
        </w:rPr>
        <w:lastRenderedPageBreak/>
        <w:t>виставкової роботи, яку заклад підтримував протягом усього воєнного часу. Поруч із твором демонструвалася реконструкція виставки 1925 року, де він уперше з'явився перед публікою [9]. Збережена документація тієї виставки – каталог, описи, зображення – входила до провенансного ланцюга, що уможливив ідентифікацію і повернення роботи. Водночас саме якість цієї документації зробила можливою точну цифрову реконструкцію: відтворити кураторське рішення у 3D-середовищі можна лише за умови детального виставкового запису.</w:t>
      </w:r>
    </w:p>
    <w:p w14:paraId="76CCA77D" w14:textId="77777777" w:rsidR="00135B88" w:rsidRPr="00C04D43" w:rsidRDefault="00416DAE" w:rsidP="00C04D43">
      <w:pPr>
        <w:spacing w:line="360" w:lineRule="auto"/>
        <w:ind w:firstLine="705"/>
        <w:jc w:val="both"/>
        <w:rPr>
          <w:lang w:val="uk-UA"/>
        </w:rPr>
      </w:pPr>
      <w:r>
        <w:rPr>
          <w:lang w:val="uk-UA"/>
        </w:rPr>
        <w:t>Виставка 1925 року показала близько ста портретів із зібрання Всеукраїнського історичного музею ім. Шевченка – установи, що згодом увійшла до основи НХМУ. Подальші інституційні перерозподіли 1930-х років перемістили частину цих творів до інших зібрань, і саме цифрова реконструкція в середовищі єМузею стала першою нагодою зібрати їх знову в контексті оригінального кураторського задуму. Але важливіше, що 3D-середовище відтворює не самий лише перелік творів, а й кураторський синтез у просторі – те, як Щербаківський і Ернст бачили цю колекцію єдиним цілим у конкретний момент 1925 року. Відвідувач отримує доступ до конкретної кураторської події, а не до «мистецтва взагалі»: задокументованої, датованої, виконаної відомими авторами. Повноцінна фізична реконструкція такого проєкту сьогодні залишається надзвичайно ускладненою через інституційну розпорошеність колекцій та стан збереженості окремих творів – і саме тому цифрове середовище тут не альтернатива, а єдиний реальний інструмент: воно долає матеріальні перепони і робить можливою безпосередню зустріч із кураторським рішенням минулого століття.</w:t>
      </w:r>
    </w:p>
    <w:p w14:paraId="24425814" w14:textId="77777777" w:rsidR="00135B88" w:rsidRPr="00C04D43" w:rsidRDefault="00F4635C" w:rsidP="00C04D43">
      <w:pPr>
        <w:spacing w:line="360" w:lineRule="auto"/>
        <w:ind w:firstLine="705"/>
        <w:jc w:val="both"/>
        <w:rPr>
          <w:lang w:val="uk-UA"/>
        </w:rPr>
      </w:pPr>
      <w:r>
        <w:rPr>
          <w:lang w:val="uk-UA"/>
        </w:rPr>
        <w:t xml:space="preserve">У ніч проти 24 травня 2026 року внаслідок масованого ракетно-дронового удару РФ по Києву вдруге пошкоджено будівлю НХМУ, і музей знову закрили на невизначений термін [20]. Реакція єМузею виявила функцію платформи, якої не передбачав проєктний задум: платформа відкрила безкоштовний онлайн-доступ до виставок і оголосила про передачу всіх коштів від переглядів на відновлення музею [54]. «Війна показала: культурна </w:t>
      </w:r>
      <w:r>
        <w:rPr>
          <w:lang w:val="uk-UA"/>
        </w:rPr>
        <w:lastRenderedPageBreak/>
        <w:t>спадщина вразлива рівно тоді, коли вона існує лише у фізичному просторі. Цифровізація музеїв – це страховий поліс нації», – заявив засновник «єМузей» Дмитро Матяш [13]. Цифровий виставковий ресурс, збудований між двома кризами, виявився не допоміжним інструментом, а структурним елементом присутності музею – і виконав пряму фінансову функцію на підтримку фізичного відновлення установи. Водночас наведені формулювання походять із самопрезентації платформи, а тому метафору «страхового поліса нації» доречно сприймати критично: фінансова віддача від онлайн-переглядів, масштаб реальної підтримки відновлення і довгострокова стійкість цієї моделі залишаються незалежно не оціненими і потребують подальшого підтвердження.</w:t>
      </w:r>
    </w:p>
    <w:p w14:paraId="2039BFE0" w14:textId="77777777" w:rsidR="00135B88" w:rsidRPr="00C04D43" w:rsidRDefault="00CE2DB8" w:rsidP="00C04D43">
      <w:pPr>
        <w:spacing w:line="360" w:lineRule="auto"/>
        <w:ind w:firstLine="705"/>
        <w:jc w:val="both"/>
        <w:rPr>
          <w:lang w:val="uk-UA"/>
        </w:rPr>
      </w:pPr>
      <w:r>
        <w:rPr>
          <w:lang w:val="uk-UA"/>
        </w:rPr>
        <w:t xml:space="preserve">Порівняння двох кейсів виявляє різні підходи до цифрового простору в умовах евакуації колекцій. Музей Ханенків обрав стратегію фіксації теперішнього: цифрові інструменти документують актуальну воєнну реальність інституції – переосмислені порожні зали, проєкти сучасного мистецтва, порожнечу як кураторський матеріал. Відсутність постійної експозиції тут не приховується, а тематизується. Національний художній музей України пішов іншим шляхом. Його першим кроком стала участь у проєкті Google Arts &amp; Culture у 2022 році – на платформі з виразним культурно-дипломатичним завданням, орієнтованій передусім на міжнародну аудиторію. Наступним етапом стало партнерство з командою єМузей та компанією Imersum, завдяки якому відбулося повне 3D-відтворення виставкових залів. На платформі emuseum.ua НХМУ представив не актуальний стан закритого закладу, а реконструкцію минулого: постійну колекцію у відтворених залах та виставку 1925 року. Отже, інституція послідовно пройшла шлях від зовнішнього майданчика до партнерського середовища, еволюціонуючи від інструменту дипломатичної видимості до цифрової реконструкції минулого. У підсумку, якщо Ханенків своїм кейсом відповідає на питання «що робити з простором без колекції тут і зараз», то </w:t>
      </w:r>
      <w:r>
        <w:rPr>
          <w:lang w:val="uk-UA"/>
        </w:rPr>
        <w:lastRenderedPageBreak/>
        <w:t>НХМУ – на питання «як повернути доступ до того, що було розпорошено чи втрачено у часі».</w:t>
      </w:r>
    </w:p>
    <w:p w14:paraId="6282A839" w14:textId="77777777" w:rsidR="00135B88" w:rsidRPr="00C04D43" w:rsidRDefault="00F4635C" w:rsidP="00C04D43">
      <w:pPr>
        <w:pStyle w:val="2"/>
        <w:spacing w:after="0"/>
        <w:ind w:firstLine="705"/>
        <w:rPr>
          <w:lang w:val="uk-UA"/>
        </w:rPr>
      </w:pPr>
      <w:bookmarkStart w:id="16" w:name="_Toc231668469"/>
      <w:r>
        <w:rPr>
          <w:lang w:val="uk-UA"/>
        </w:rPr>
        <w:t>3.2. Цифрова документація як умова майбутньої виставкової роботи</w:t>
      </w:r>
      <w:bookmarkEnd w:id="16"/>
    </w:p>
    <w:p w14:paraId="497C8738" w14:textId="77777777" w:rsidR="00135B88" w:rsidRPr="00C04D43" w:rsidRDefault="00F4635C" w:rsidP="00C04D43">
      <w:pPr>
        <w:spacing w:line="360" w:lineRule="auto"/>
        <w:ind w:firstLine="705"/>
        <w:jc w:val="both"/>
        <w:rPr>
          <w:lang w:val="uk-UA"/>
        </w:rPr>
      </w:pPr>
      <w:r>
        <w:rPr>
          <w:lang w:val="uk-UA"/>
        </w:rPr>
        <w:t>Функція цифрових технологій у музейній роботі змінюється зі зміною умов, в яких музей існує. Специфічним для ситуації збройного конфлікту є зміщення горизонту адресата: цифровий ресурс перестає орієнтуватися на наявного відвідувача і починає орієнтуватися на відвідувача або дослідника майбутнього – коли загроза мине або предмет повернеться. Ідеться не просто про прагматику порятунку – змінюється саме те, що означає «зберегти спадщину» для музею як виставкової інституції: зберегти не тільки фізичний предмет, а й умови, за яких він може бути показаний, атрибутований і пов'язаний із власною виставковою і колекційною історією.</w:t>
      </w:r>
    </w:p>
    <w:p w14:paraId="495C5A7E" w14:textId="77777777" w:rsidR="00135B88" w:rsidRPr="00C04D43" w:rsidRDefault="00F4635C" w:rsidP="00C04D43">
      <w:pPr>
        <w:spacing w:line="360" w:lineRule="auto"/>
        <w:ind w:firstLine="705"/>
        <w:jc w:val="both"/>
        <w:rPr>
          <w:lang w:val="uk-UA"/>
        </w:rPr>
      </w:pPr>
      <w:r>
        <w:rPr>
          <w:lang w:val="uk-UA"/>
        </w:rPr>
        <w:t>Масштаб проблеми підтверджується кількома джерелами. ЮНЕСКО зафіксувала пошкодження 515 об'єктів культурної спадщини в Україні станом на 7 січня 2026 року, серед яких 38 музеїв [74]. Міністерство культури наводить значно вищу цифру – 1 630 об'єктів культурної спадщини і 2 437 об'єктів культурної інфраструктури [70]. Розрив між цими показниками значною мірою має методологічну природу: ЮНЕСКО верифікує вужче коло об'єктів за власною процедурою, тоді як Міністерство культури обліковує ширшу сукупність. Водночас така розбіжність у даних підкреслює загальні труднощі процесу міжнародної верифікації в умовах активних бойових дій та обмеженого доступу до частково зруйнованих або тимчасово окупованих територій.</w:t>
      </w:r>
    </w:p>
    <w:p w14:paraId="770863DE" w14:textId="77777777" w:rsidR="00135B88" w:rsidRPr="00C04D43" w:rsidRDefault="00F4635C" w:rsidP="00C04D43">
      <w:pPr>
        <w:spacing w:line="360" w:lineRule="auto"/>
        <w:ind w:firstLine="705"/>
        <w:jc w:val="both"/>
        <w:rPr>
          <w:lang w:val="uk-UA"/>
        </w:rPr>
      </w:pPr>
      <w:r>
        <w:rPr>
          <w:lang w:val="uk-UA"/>
        </w:rPr>
        <w:t xml:space="preserve">SUCHO (Saving Ukrainian Cultural Heritage Online) – це міжнародна волонтерська ініціатива, заснована 1 березня 2022 року Анною Кіяс (Університет Тафтса), Квіном Домбровськи (Стенфорд) і Себастьяном Майсторовичем (Європейський університетський інститут) як пряма відповідь на загрозу знищення цифрової культурної спадщини України. За перші місяці роботи понад 1 500 добровольців заархівували (іл. 3.4) більш ніж 51 ТБ даних </w:t>
      </w:r>
      <w:r>
        <w:rPr>
          <w:lang w:val="uk-UA"/>
        </w:rPr>
        <w:lastRenderedPageBreak/>
        <w:t>із понад 5 400 вебсайтів – від національних архівів до малих місцевих музеїв і дитячих культурних програм [40]. Влітку 2022 року SUCHO перейшла до другої фази: від веб-архівування до безпосередньої допомоги у фізичному оцифруванні – пересиланні сканерів, камер і ноутбуків в українські культурні установи.</w:t>
      </w:r>
    </w:p>
    <w:p w14:paraId="17EC4286" w14:textId="77777777" w:rsidR="00135B88" w:rsidRPr="00C04D43" w:rsidRDefault="00F4635C" w:rsidP="00C04D43">
      <w:pPr>
        <w:spacing w:line="360" w:lineRule="auto"/>
        <w:ind w:firstLine="705"/>
        <w:jc w:val="both"/>
        <w:rPr>
          <w:lang w:val="uk-UA"/>
        </w:rPr>
      </w:pPr>
      <w:r>
        <w:rPr>
          <w:lang w:val="uk-UA"/>
        </w:rPr>
        <w:t>На державному рівні паралельно виникла ініціатива іншого характеру. У 2022 році у рамках співпраці МКІП України з Міністерством культури Польщі та Solidarity Fund PL розпочато реалізацію проєкту «Впровадження електронної системи реєстру Музейного фонду України»; до робочої групи увійшли представники 12 провідних музеїв різного профілю [32]. Публічна частина системи (museum.mincult.gov.ua) є інформаційно-комунікаційною системою, що забезпечує збирання, зберігання та облік відомостей про музейні предмети і колекції державної частини Музейного фонду – їхній стан, місцезнаходження та переміщення [29]. Адресат реєстру – держава, реставратори і міжнародні організації з відстеження культурних цінностей. Це відрізняє його від виставкових цифрових ресурсів: реєстр не формує досвід взаємодії з колекцією, але задає адміністративні умови, за яких виставкова робота з нею стає можливою після повернення.</w:t>
      </w:r>
    </w:p>
    <w:p w14:paraId="5DC0C05B" w14:textId="77777777" w:rsidR="00135B88" w:rsidRPr="00C04D43" w:rsidRDefault="00F4635C" w:rsidP="00C04D43">
      <w:pPr>
        <w:spacing w:line="360" w:lineRule="auto"/>
        <w:ind w:firstLine="705"/>
        <w:jc w:val="both"/>
        <w:rPr>
          <w:lang w:val="uk-UA"/>
        </w:rPr>
      </w:pPr>
      <w:r>
        <w:rPr>
          <w:lang w:val="uk-UA"/>
        </w:rPr>
        <w:t>У грудні 2024 року за рішенням головнокомандувача ЗСУ Олександра Сирського у структурі цивільно-військового співробітництва Збройних Сил створено підрозділ із захисту культурної спадщини. До його складу увійшли військовослужбовці з освітою та досвідом у сферах культури, археології, історії та музейної справи. Основне завдання підрозділу – координація дій із захисту, збереження та запобігання знищенню об'єктів культурної спадщини в зонах бойових дій. Рішення реалізує положення Гаазької конвенції про захист культурних цінностей у разі збройного конфлікту (1954), зокрема частини другої статті 7 щодо створення спеціалізованого підрозділу. Серед зафіксованих функцій – також збір доказової бази для Міжнародного кримінального суду [31].</w:t>
      </w:r>
    </w:p>
    <w:p w14:paraId="46A04D4F" w14:textId="77777777" w:rsidR="009A42AD" w:rsidRPr="00C04D43" w:rsidRDefault="009A42AD" w:rsidP="00C04D43">
      <w:pPr>
        <w:spacing w:line="360" w:lineRule="auto"/>
        <w:ind w:firstLine="705"/>
        <w:jc w:val="both"/>
        <w:rPr>
          <w:lang w:val="uk-UA"/>
        </w:rPr>
      </w:pPr>
      <w:r>
        <w:rPr>
          <w:lang w:val="uk-UA"/>
        </w:rPr>
        <w:lastRenderedPageBreak/>
        <w:t>Справа Херсонського художнього музею наочно показує, як провал документації стає провалом виставкової і реституційної роботи. Директорка Аліна Доценко повернулася до звільненого міста в листопаді 2022 року і виявила порожні сховища: понад 10 000 предметів, зібрання, що формувалося 45 років, вивезли до Криму [42]. Встановити факт викрадення виявилося простіше, ніж довести приналежність кожного предмета саме цьому музею і підтвердити його стан до вилучення. У 2023 році Росія законодавчо включила 77 музеїв із чотирьох окупованих областей до власного національного каталогу [35] – крок, що ускладнює реституцію там, де документація або знищена, або від початку не існувала. Міністерка культури України Тетяна Бережна визначила цифровізацію колекцій одним із ключових пріоритетів свого відомства: «Якби ми оцифрували їх заздалегідь, ми б знали, скільки об'єктів вкрали і як вони виглядають» [35]. За цим формулюванням стоїть проблема виставкова, а не лише адміністративна: без верифікованого цифрового запису навіть фізично повернений предмет не може бути показаний глядачеві з повноцінним контекстом – без атрибуції, без документованого провенансу, без зв'язку з колекційним і виставковим наративом. Зворотну, позитивну логіку демонструє описаний у підрозділі 3.1 кейс «Жіночого портрета» В. Галімського: саме якісний архівний виставковий запис 1925 року забезпечив провенансний ланцюг для ідентифікації та реституції, а сам факт повернення став змістовним ядром 3D-реконструкції на платформі єМузей.</w:t>
      </w:r>
    </w:p>
    <w:p w14:paraId="0EC298E8" w14:textId="77777777" w:rsidR="00135B88" w:rsidRPr="00C04D43" w:rsidRDefault="00F4635C" w:rsidP="00C04D43">
      <w:pPr>
        <w:spacing w:line="360" w:lineRule="auto"/>
        <w:ind w:firstLine="705"/>
        <w:jc w:val="both"/>
        <w:rPr>
          <w:lang w:val="uk-UA"/>
        </w:rPr>
      </w:pPr>
      <w:r>
        <w:rPr>
          <w:lang w:val="uk-UA"/>
        </w:rPr>
        <w:t>Саме цю прогалину заповнює HeMo (Ukrainian Heritage Monitoring Lab, Львів). У рамках проєкту «Кризова інвентаризація та стрибок до цифровізації музейного обліку» HeMo охопила п'ять установ: Державний природознавчий музей НАН України, заповідник «Тустань», Харківський літературний музей, Одеський національний художній музей і Музей Ханенків [33, с. 53–54]. Назва проєкту є показовою: «кризова інвентаризація» позиціонує оцифрування як реакцію на надзвичайну ситуацію, а не як стратегічний розвиток.</w:t>
      </w:r>
    </w:p>
    <w:p w14:paraId="5A70C184" w14:textId="77777777" w:rsidR="00135B88" w:rsidRPr="00C04D43" w:rsidRDefault="00F4635C" w:rsidP="00C04D43">
      <w:pPr>
        <w:spacing w:line="360" w:lineRule="auto"/>
        <w:ind w:firstLine="705"/>
        <w:jc w:val="both"/>
        <w:rPr>
          <w:lang w:val="uk-UA"/>
        </w:rPr>
      </w:pPr>
      <w:r>
        <w:rPr>
          <w:lang w:val="uk-UA"/>
        </w:rPr>
        <w:t xml:space="preserve">Технічна методика HeMo принципово відрізняється від звичайного музейного фотографування. Мета – «цифровий двійник» предмета (іл. 3.3): </w:t>
      </w:r>
      <w:r>
        <w:rPr>
          <w:lang w:val="uk-UA"/>
        </w:rPr>
        <w:lastRenderedPageBreak/>
        <w:t>репрезентація, достатньо точна для наукового опису, реставраційного відтворення і юридичної ідентифікації; фотографію предмета обов'язково супроводжують метадані, без яких, за висловом координаторки оцифрування HeMo Н. Дзюбенко, цифрова копія залишається «цифровим сміттям» [33, с. 53]. Це вимагає контрольованого кольору через colorchecker-и, верифікованих габаритів через масштабні лінійки і рівномірної різкості по всій площині поверхні через стекінг фотографій [33, с. 55]. Структурування метаданих за стандартом CIDOC CRM – міжнародною онтологічною моделлю, розробленою під егідою CIDOC-ICOM, – забезпечує сумісність із міжнародними базами даних і системами відстеження переміщення культурних цінностей [33, с. 56]. У Музеї Ханенків технологію задіяно для 561 предмета колекції азійського мистецтва та графіки: близько 3 000 зображень, кожне пов'язане зі структурованими метаданими [33, с. 57]. Поки оригінали перебувають в евакуації, науковці продовжують атрибуційну роботу з цифровими копіями – документація стає умовою наукової неперервності, а не лише захисним заходом.</w:t>
      </w:r>
    </w:p>
    <w:p w14:paraId="32BCB880" w14:textId="77777777" w:rsidR="00135B88" w:rsidRPr="00C04D43" w:rsidRDefault="00F4635C" w:rsidP="00C04D43">
      <w:pPr>
        <w:spacing w:line="360" w:lineRule="auto"/>
        <w:ind w:firstLine="705"/>
        <w:jc w:val="both"/>
        <w:rPr>
          <w:lang w:val="uk-UA"/>
        </w:rPr>
      </w:pPr>
      <w:r>
        <w:rPr>
          <w:lang w:val="uk-UA"/>
        </w:rPr>
        <w:t>Рішення Ханенків поглиблювати співпрацю у сфері цифрової документації набуло особливого виміру в умовах прямої загрози будівлі: після 10 жовтня 2022 року, коли музей зазнав наслідків масованого ракетного удару по Києву, відчуття безпеки музейного простору, за свідченням співробітників, зникло [12, с. 10]. Охоронний статус пам'ятки не захищає від ракети: ця обставина підсилила розуміння цифрової документації як відповіді на усвідомлену конкретність загрози, а не на загальну ідею «треба оцифрувати».</w:t>
      </w:r>
    </w:p>
    <w:p w14:paraId="0CFECE49" w14:textId="77777777" w:rsidR="00135B88" w:rsidRPr="00C04D43" w:rsidRDefault="00F4635C" w:rsidP="00C04D43">
      <w:pPr>
        <w:spacing w:line="360" w:lineRule="auto"/>
        <w:ind w:firstLine="705"/>
        <w:jc w:val="both"/>
        <w:rPr>
          <w:lang w:val="uk-UA"/>
        </w:rPr>
      </w:pPr>
      <w:r>
        <w:rPr>
          <w:lang w:val="uk-UA"/>
        </w:rPr>
        <w:t xml:space="preserve">Стандарт CIDOC CRM набуває у цьому контексті юридичного виміру, відсутнього в мирній виставковій практиці. Гаазька конвенція 1954 року і Другий протокол 1999 року визначають руйнування і пограбування культурних цінностей як воєнні злочини і встановлюють механізм кримінальної відповідальності [44]. Будь-яке провадження – у Міжнародному кримінальному суді або Реєстрі збитків Ради Європи, заснованому в Гаазі у травні 2023 року [39], – вимагає верифікованого запису стану предмета до </w:t>
      </w:r>
      <w:r>
        <w:rPr>
          <w:lang w:val="uk-UA"/>
        </w:rPr>
        <w:lastRenderedPageBreak/>
        <w:t>пошкодження або вилучення. Запис за CIDOC CRM дозволяє автоматично зіставляти дані з міжнародними базами викрадених об'єктів; звичайний музейний запис без дотримання цього стандарту таким ресурсом не є. Пріоритет оцифрування – унікальні й атрибутовані предмети [24, с. 43]: ті, ідентифікація яких без попереднього запису неможлива, а реституція – юридично заблокована.</w:t>
      </w:r>
    </w:p>
    <w:p w14:paraId="263C7A72" w14:textId="77777777" w:rsidR="00135B88" w:rsidRPr="00C04D43" w:rsidRDefault="00F4635C" w:rsidP="00C04D43">
      <w:pPr>
        <w:spacing w:line="360" w:lineRule="auto"/>
        <w:ind w:firstLine="705"/>
        <w:jc w:val="both"/>
        <w:rPr>
          <w:lang w:val="uk-UA"/>
        </w:rPr>
      </w:pPr>
      <w:r>
        <w:rPr>
          <w:lang w:val="uk-UA"/>
        </w:rPr>
        <w:t>Паралельно виникли ініціативи з іншим предметним фокусом. Раніше згадана SUCHO архівувала вебконтент установ: сайти, онлайн-каталоги, вебвиставки зникають разом із серверами або через несплату хостингу в умовах евакуації – і разом із ними зникає документація виставкової діяльності: архіви виставок, описи стану колекцій, фотографії предметів. SUCHO наочно показала межу реактивного підходу: те, чого не існувало у цифровому вигляді до вторгнення, неможливо зберегти постфактум. Skeiron зі Львова застосовує лазерне сканування і фотограмметрію нерухомої архітектурної спадщини – церков, замків, міських ансамблів [66]. Цей підхід відповідає ширшій міжнародній практиці превентивного 3D-документування пам'яток на випадок їх руйнування [43]. Відмінність між Skeiron і HeMo предметна, а не конкурентна: рухомий предмет музейного фонду і нерухома архітектурна пам'ятка вимагають різних стандартів і відповідають різним реставраційним і юридичним потребам.</w:t>
      </w:r>
    </w:p>
    <w:p w14:paraId="79323C88" w14:textId="77777777" w:rsidR="00135B88" w:rsidRPr="00C04D43" w:rsidRDefault="00F4635C" w:rsidP="00C04D43">
      <w:pPr>
        <w:spacing w:line="360" w:lineRule="auto"/>
        <w:ind w:firstLine="705"/>
        <w:jc w:val="both"/>
        <w:rPr>
          <w:lang w:val="uk-UA"/>
        </w:rPr>
      </w:pPr>
      <w:r>
        <w:rPr>
          <w:lang w:val="uk-UA"/>
        </w:rPr>
        <w:t xml:space="preserve">Оцінка цих ініціатив виявляє кілька розривів, що не знімаються позитивною динамікою. Усі вони виникли реактивно – тоді як системна превентивна документація могла б розпочатися після 2014 року, коли масштаб ризику вже був очевидним на прикладі окупованого Донбасу і Криму. HeMo охопила п'ять установ – переважно великих і відносно стійких; тисячі регіональних музеїв залишилися поза проєктом через брак системного фінансування і методичної підтримки. Відкритим залишається питання управління накопиченими архівами в постконфліктній фазі: хто зберігатиме ці масиви, в яких технічних і правових форматах вони повернуться до установ, хто підтримуватиме їх доступність. Від відповідей залежить, чи стане </w:t>
      </w:r>
      <w:r>
        <w:rPr>
          <w:lang w:val="uk-UA"/>
        </w:rPr>
        <w:lastRenderedPageBreak/>
        <w:t>сьогоднішня документація реальним ресурсом відновлення або залишиться архівом без інституційного призначення.</w:t>
      </w:r>
    </w:p>
    <w:p w14:paraId="1749146F" w14:textId="77777777" w:rsidR="00135B88" w:rsidRPr="00C04D43" w:rsidRDefault="00F4635C" w:rsidP="00C04D43">
      <w:pPr>
        <w:spacing w:line="360" w:lineRule="auto"/>
        <w:ind w:firstLine="705"/>
        <w:jc w:val="both"/>
        <w:rPr>
          <w:lang w:val="uk-UA"/>
        </w:rPr>
      </w:pPr>
      <w:r>
        <w:rPr>
          <w:lang w:val="uk-UA"/>
        </w:rPr>
        <w:t>Зв'язок між якістю нинішньої документаційної роботи і якістю майбутньої виставкової роботи має конкретний характер і підтверджується наведеними прикладами. Якщо цифровий двійник точний, метадані верифіковані, стандарт сумісний із міжнародними системами – повернений предмет можна показати з повноцінним контекстом: атрибутованим, датованим, пов'язаним із задокументованою виставковою і колекційною історією. Якщо цього немає – предмет можна показати, але не вписати в колекційний наратив, не підтвердити провенанс, не пов'язати з виставковими рішеннями, де він брав участь. Наведені кейси свідчать, що документаційна робота в умовах конфлікту виконує функціонально необхідну, а не допоміжну роль для майбутньої виставкової діяльності.</w:t>
      </w:r>
    </w:p>
    <w:p w14:paraId="69A1B6DF" w14:textId="77777777" w:rsidR="00135B88" w:rsidRPr="00C04D43" w:rsidRDefault="00F4635C" w:rsidP="00C04D43">
      <w:pPr>
        <w:pStyle w:val="2"/>
        <w:spacing w:after="0"/>
        <w:ind w:firstLine="705"/>
        <w:rPr>
          <w:lang w:val="uk-UA"/>
        </w:rPr>
      </w:pPr>
      <w:bookmarkStart w:id="17" w:name="_Toc231668470"/>
      <w:r>
        <w:rPr>
          <w:lang w:val="uk-UA"/>
        </w:rPr>
        <w:t>3.3. Структурні виклики та перспективи розвитку цифрових музейних практик в Україні</w:t>
      </w:r>
      <w:bookmarkEnd w:id="17"/>
    </w:p>
    <w:p w14:paraId="7BF16CF6" w14:textId="77777777" w:rsidR="00135B88" w:rsidRPr="00C04D43" w:rsidRDefault="00F4635C" w:rsidP="00C04D43">
      <w:pPr>
        <w:spacing w:line="360" w:lineRule="auto"/>
        <w:ind w:firstLine="705"/>
        <w:jc w:val="both"/>
        <w:rPr>
          <w:lang w:val="uk-UA"/>
        </w:rPr>
      </w:pPr>
      <w:r>
        <w:rPr>
          <w:lang w:val="uk-UA"/>
        </w:rPr>
        <w:t xml:space="preserve">Пандемія COVID-19 і повномасштабна війна Росії проти України поставили перед музеями різні за природою виклики і тому задіяли різну логіку цифровізації. Пандемія поставила питання комунікаційне: чи може музей підтримувати зв'язок з аудиторією в умовах фізичного закриття? Відповідь – розширення онлайн-присутності, партнерські платформи, активізація соціальних мереж – залишалася орієнтованою на наявного відвідувача. Повномасштабна війна поставила якісно інше питання: як зберегти саму колекцію і підтвердити права на неї в умовах фізичної загрози? Цифровий ресурс тут виконував функцію, що частково виходить за межі виставкової комунікації – у сферу документального і правового захисту. Ці два рівні задіюють різні інструменти: те, що придатне для підтримки аудиторного зв'язку, не є достатнім для юридичної ідентифікації предмета. Розглядати цифрові практики 2020–2025 років як єдиний лінійний рух уперед означало б ігнорувати цю різницю – так само, як ігнорувати те, що і пандемія, і </w:t>
      </w:r>
      <w:r>
        <w:rPr>
          <w:lang w:val="uk-UA"/>
        </w:rPr>
        <w:lastRenderedPageBreak/>
        <w:t>повномасштабне вторгнення лише загострили системний дефіцит, що нагромаджувався упродовж попереднього десятиліття.</w:t>
      </w:r>
    </w:p>
    <w:p w14:paraId="77EE2568" w14:textId="77777777" w:rsidR="00135B88" w:rsidRPr="00C04D43" w:rsidRDefault="00F4635C" w:rsidP="00C04D43">
      <w:pPr>
        <w:spacing w:line="360" w:lineRule="auto"/>
        <w:ind w:firstLine="705"/>
        <w:jc w:val="both"/>
        <w:rPr>
          <w:lang w:val="uk-UA"/>
        </w:rPr>
      </w:pPr>
      <w:r>
        <w:rPr>
          <w:lang w:val="uk-UA"/>
        </w:rPr>
        <w:t>За даними ICOM, у пандемічний період діяльність, пов'язана з цифровізацією, зросла не менш ніж на 15 %, а присутність музеїв у соціальних мережах подвоїлася у половини досліджених установ [53]. В Україні цей процес мав виразну асиметрію: великі столичні заклади реагували активно, тоді як більшість регіональних музеїв або не мала публічної цифрової присутності взагалі, або обмежувалася статичними сайтами без взаємодії з аудиторією [1;2, с. 312]. Пандемія зробила цей розрив видимим, але не вирішила його.</w:t>
      </w:r>
    </w:p>
    <w:p w14:paraId="061DF35B" w14:textId="77777777" w:rsidR="00135B88" w:rsidRPr="00C04D43" w:rsidRDefault="00F4635C" w:rsidP="00C04D43">
      <w:pPr>
        <w:spacing w:line="360" w:lineRule="auto"/>
        <w:ind w:firstLine="705"/>
        <w:jc w:val="both"/>
        <w:rPr>
          <w:lang w:val="uk-UA"/>
        </w:rPr>
      </w:pPr>
      <w:r>
        <w:rPr>
          <w:lang w:val="uk-UA"/>
        </w:rPr>
        <w:t>Серед структурних проблем кадрова є найбільш конкретною і найменш вирішуваною в короткостроковій перспективі. Більшість українських музеїв не має власних фахівців, здатних не лише ситуативно публікувати контент у мережах, а й проєктувати і підтримувати цифрові системи обліку, виставкові платформи, онлайн-архіви. Дослідження цифрової готовності 22 музеїв – учасників Memory Savers виявило значний розкид: від установ із розвиненою вебприсутністю до тих, де сайт є статичною сторінкою без оновлень [34, с. 124]. Фахівці фіксують брак ІТ-компетенцій як одну з головних перешкод [2, с. 315]. Але є і специфічно виставковий вимір цього дефіциту: технічна компетенція підтримки цифрових систем і кураторська компетенція побудови виставкового досвіду через цифрові засоби є різними за природою – і рідко поєднуються в одній посаді. Саме їхнє поєднання необхідне для того, щоб цифровий ресурс мав кураторський, а не суто технічний характер.</w:t>
      </w:r>
    </w:p>
    <w:p w14:paraId="460DA52D" w14:textId="77777777" w:rsidR="00135B88" w:rsidRPr="00C04D43" w:rsidRDefault="00F4635C" w:rsidP="00C04D43">
      <w:pPr>
        <w:spacing w:line="360" w:lineRule="auto"/>
        <w:ind w:firstLine="705"/>
        <w:jc w:val="both"/>
        <w:rPr>
          <w:lang w:val="uk-UA"/>
        </w:rPr>
      </w:pPr>
      <w:r>
        <w:rPr>
          <w:lang w:val="uk-UA"/>
        </w:rPr>
        <w:t xml:space="preserve">Фінансова, кадрова і технічна проблеми є взаємозумовленими, а не просто співіснують як окремі недоліки. Грантова модель фінансування, що переважає в галузі, зумовлює кадрову нестабільність: без гарантованого операційного бюджету неможливо утримати фахівця з цифрових музейних практик у постійному штаті. Кадровий дефіцит своєю чергою призводить до технічної ненадійності: системи без постійного обслуговування накопичують ризики від кібератак і фізичного пошкодження інфраструктури [28, с. 54]. Для </w:t>
      </w:r>
      <w:r>
        <w:rPr>
          <w:lang w:val="uk-UA"/>
        </w:rPr>
        <w:lastRenderedPageBreak/>
        <w:t>виставкової діяльності це означає конкретний ризик: цифровий виставковий ресурс може зникнути або застаріти так само швидко, як і з'явився, якщо установа не закладає його підтримку в операційний бюджет. Більшість значущих проєктів, що постали з кризи, реалізовані за підтримки зовнішніх донорів; питання про те, хто підтримуватиме платформу після закриття гранту, часто залишається без відповіді [21, с. 88]. Спільне коріння всіх трьох проблем – відсутність інституційного визнання цифрового виставкового ресурсу таким, що потребує операційного, а не лише проєктного фінансування.</w:t>
      </w:r>
    </w:p>
    <w:p w14:paraId="14869541" w14:textId="77777777" w:rsidR="004E0CD5" w:rsidRPr="00C04D43" w:rsidRDefault="009A42AD" w:rsidP="00C04D43">
      <w:pPr>
        <w:spacing w:line="360" w:lineRule="auto"/>
        <w:ind w:firstLine="705"/>
        <w:jc w:val="both"/>
        <w:rPr>
          <w:lang w:val="uk-UA"/>
        </w:rPr>
      </w:pPr>
      <w:r>
        <w:rPr>
          <w:lang w:val="uk-UA"/>
        </w:rPr>
        <w:t>Незавершена нормативна рамка, описана у підрозділі 3.1, має пряму проєкцію на виставкову й реституційну роботу. Чинна Інструкція з організації обліку музейних предметів (наказ МКУ № 580 від 2016 р.) зберігає рукописний (паперовий) примірник облікової книги як обов'язковий, допускаючи ведення обліку в електронній формі за умови регулярного перенесення даних на паперові носії [5]. Запровадження Реєстру Музейного фонду України наприкінці 2025 року [27] є кроком у правильному напрямі, проте, з огляду на пілотний статус проєкту, він закріплює принцип подвійного обліку, а не первинність цифрового запису: електронний запис ведеться одночасно з паперовим і не набуває самостійного статусу первинного облікового документа. Саме ця подвійність, а не технічна спроможність систем, ускладнює повноцінне управління переміщеною колекцією та звужує можливості документального підтвердження, на яке спирається реституційна робота.</w:t>
      </w:r>
    </w:p>
    <w:p w14:paraId="0A18934B" w14:textId="77777777" w:rsidR="00135B88" w:rsidRPr="00C04D43" w:rsidRDefault="00F4635C" w:rsidP="00C04D43">
      <w:pPr>
        <w:spacing w:line="360" w:lineRule="auto"/>
        <w:ind w:firstLine="705"/>
        <w:jc w:val="both"/>
        <w:rPr>
          <w:lang w:val="uk-UA"/>
        </w:rPr>
      </w:pPr>
      <w:r>
        <w:rPr>
          <w:lang w:val="uk-UA"/>
        </w:rPr>
        <w:t xml:space="preserve">Нерівномірність охоплення залишається найбільш тривожним структурним фактом. НХМУ і Ханенків мають розвинений цифровий профіль і довели, що виставкова комунікація з різними аудиторіями через цифрові канали є реалізовною і в умовах повномасштабної війни. Більшість регіональних музеїв перебуває поза публічним цифровим простором через брак ресурсів, а не через відсутність цінних зібрань, кадрів і методичної підтримки [6, с. 19]. Для аудиторії поза фізичною досяжністю установи ці </w:t>
      </w:r>
      <w:r>
        <w:rPr>
          <w:lang w:val="uk-UA"/>
        </w:rPr>
        <w:lastRenderedPageBreak/>
        <w:t>колекції є практично недоступними. Цифрова відсутність означає виключення аудиторії з комунікації, а не нейтральний стан – ефект, що посилюється в умовах, коли й фізичний доступ обмежений або знищений.</w:t>
      </w:r>
    </w:p>
    <w:p w14:paraId="6BD74BF5" w14:textId="77777777" w:rsidR="00135B88" w:rsidRPr="00C04D43" w:rsidRDefault="00F4635C" w:rsidP="00C04D43">
      <w:pPr>
        <w:spacing w:line="360" w:lineRule="auto"/>
        <w:ind w:firstLine="705"/>
        <w:jc w:val="both"/>
        <w:rPr>
          <w:lang w:val="uk-UA"/>
        </w:rPr>
      </w:pPr>
      <w:r>
        <w:rPr>
          <w:lang w:val="uk-UA"/>
        </w:rPr>
        <w:t xml:space="preserve">Питання, яке набуде центрального значення після завершення активної фази конфлікту, – чи перетворяться цифрові формати, що постали з повномасштабної війни, на стійкі елементи виставкової стратегії. Кейс єМузею показує: цифрове середовище здатне не просто компенсувати недоступне, а уможливлювати виставкові рішення, нереалізовні фізично навіть у мирний час – реконструкція кураторської події 1925 року є прикладом саме цього. </w:t>
      </w:r>
    </w:p>
    <w:p w14:paraId="3D89DA2F" w14:textId="77777777" w:rsidR="00135B88" w:rsidRPr="00C04D43" w:rsidRDefault="00F4635C" w:rsidP="00C04D43">
      <w:pPr>
        <w:spacing w:line="360" w:lineRule="auto"/>
        <w:ind w:firstLine="705"/>
        <w:jc w:val="both"/>
        <w:rPr>
          <w:lang w:val="uk-UA"/>
        </w:rPr>
      </w:pPr>
      <w:r>
        <w:rPr>
          <w:lang w:val="uk-UA"/>
        </w:rPr>
        <w:t>Цифрові практики в Україні довели свою функціональну необхідність – спочатку як відповідь на пандемію, потім як умова збереження зв'язку з аудиторією і документування спадщини в умовах повномасштабної війни. Ця необхідність підтверджена конкретними результатами: реєстр МФУ, що охоплює щороку зростаючий масив задокументованих предметів; 3D-тур, що замінив недоступну фізичну колекцію; архів понад 50 ТБ вебконтенту, який інакше був би безповоротно втрачений; реконструкція виставки 1925 року через сто років після першого показу; «Жіночий портрет» Галімського, повернений зокрема тому, що виставковий запис зберігся. Але між задокументованим потенціалом і стійкою практикою залишається відстань. Її долає інституційний вибір, а не окремий проєкт: нормативна рамка для електронного обліку, стандарти метаданих, сумісні з міжнародними системами, фінансування не виключно проєктне, підготовка фахівців, здатних поєднувати кураторське і технічне мислення. Без цього цифрові практики залишатимуться тим, чим вони здебільшого є зараз: реактивними, нерівномірно розподіленими між великими і регіональними закладами, залежними від зовнішньої ініціативи.</w:t>
      </w:r>
    </w:p>
    <w:p w14:paraId="6C84115E" w14:textId="77777777" w:rsidR="00135B88" w:rsidRPr="00C04D43" w:rsidRDefault="00F4635C" w:rsidP="00C04D43">
      <w:pPr>
        <w:pStyle w:val="2"/>
        <w:spacing w:before="240" w:after="0"/>
        <w:jc w:val="center"/>
        <w:rPr>
          <w:lang w:val="uk-UA"/>
        </w:rPr>
      </w:pPr>
      <w:bookmarkStart w:id="18" w:name="_Toc231668471"/>
      <w:r>
        <w:rPr>
          <w:i/>
          <w:iCs/>
          <w:lang w:val="uk-UA"/>
        </w:rPr>
        <w:t>Висновки до розділу 3</w:t>
      </w:r>
      <w:bookmarkEnd w:id="18"/>
    </w:p>
    <w:p w14:paraId="219B2A40" w14:textId="77777777" w:rsidR="00135B88" w:rsidRPr="00C04D43" w:rsidRDefault="00F4635C" w:rsidP="00C04D43">
      <w:pPr>
        <w:spacing w:line="360" w:lineRule="auto"/>
        <w:ind w:firstLine="705"/>
        <w:jc w:val="both"/>
        <w:rPr>
          <w:lang w:val="uk-UA"/>
        </w:rPr>
      </w:pPr>
      <w:r>
        <w:rPr>
          <w:lang w:val="uk-UA"/>
        </w:rPr>
        <w:lastRenderedPageBreak/>
        <w:t>Аналіз, проведений у трьох підрозділах, дозволяє сформулювати кілька висновків, що виходять за межі опису окремих кейсів і стосуються загальнішої логіки цифрової трансформації музейної практики в Україні.</w:t>
      </w:r>
    </w:p>
    <w:p w14:paraId="58B0B0B1" w14:textId="77777777" w:rsidR="00135B88" w:rsidRPr="00C04D43" w:rsidRDefault="00F4635C" w:rsidP="00C04D43">
      <w:pPr>
        <w:spacing w:line="360" w:lineRule="auto"/>
        <w:ind w:firstLine="705"/>
        <w:jc w:val="both"/>
        <w:rPr>
          <w:lang w:val="uk-UA"/>
        </w:rPr>
      </w:pPr>
      <w:r>
        <w:rPr>
          <w:lang w:val="uk-UA"/>
        </w:rPr>
        <w:t>Перший висновок стосується природи цифрового переходу. Жоден із розглянутих кейсів не виникав як реалізація заздалегідь сформульованої цифрової виставкової стратегії. 3D-тур Ханенків, участь НХМУ у Google Arts &amp; Culture, платформа єМузей, проєкт HeMo та інші – усі ці ініціативи народилися або з ситуативного партнерства, або як реакція на кризу. Це не знецінює результатів: деякі з них мають безперечну виставкову і культурну вагу. Але ситуативне походження пояснює, чому практики, що демонструють значний потенціал, залишаються прецедентами, а не системними методами. Різниця між прецедентом і методом – у відтворюваності: метод може бути переданий, тиражований, адаптований іншою установою без залежності від конкретного донора або особистої ініціативи.</w:t>
      </w:r>
    </w:p>
    <w:p w14:paraId="0D774F2B" w14:textId="77777777" w:rsidR="004E0CD5" w:rsidRPr="00C04D43" w:rsidRDefault="004E0CD5" w:rsidP="00C04D43">
      <w:pPr>
        <w:spacing w:line="360" w:lineRule="auto"/>
        <w:ind w:firstLine="705"/>
        <w:jc w:val="both"/>
        <w:rPr>
          <w:lang w:val="uk-UA"/>
        </w:rPr>
      </w:pPr>
      <w:r>
        <w:rPr>
          <w:lang w:val="uk-UA"/>
        </w:rPr>
        <w:t>Другий висновок стосується взаємозв'язку між документаційною і виставковою функціями цифрових інструментів. Аналіз показав, що ці дві функції не є взаємозамінними – вони потребують різних стандартів, програмного забезпечення і кваліфікації виконавців, – але об'єднані жорстким причинно-наслідковим зв'язком: якість документаційного запису визначає межі виставкових можливостей. Реституція «Жіночого портрета» Галімського і реконструкція виставки 1925 року є двома проявами одного принципу, тоді як критичний брак або відсутність цифрової бази, як у випадку пограбованих херсонських колекцій, блокує і правову реституцію, і віртуальну виставкову репрезентацію втраченого. Отже, інвестиція в документаційні стандарти є водночас безальтернативною інвестицією у виставковий потенціал майбутнього.</w:t>
      </w:r>
    </w:p>
    <w:p w14:paraId="3524E86F" w14:textId="77777777" w:rsidR="00135B88" w:rsidRPr="00C04D43" w:rsidRDefault="00F4635C" w:rsidP="00C04D43">
      <w:pPr>
        <w:spacing w:line="360" w:lineRule="auto"/>
        <w:ind w:firstLine="705"/>
        <w:jc w:val="both"/>
        <w:rPr>
          <w:lang w:val="uk-UA"/>
        </w:rPr>
      </w:pPr>
      <w:r>
        <w:rPr>
          <w:lang w:val="uk-UA"/>
        </w:rPr>
        <w:t xml:space="preserve">Третій висновок стосується функціональної трансформації цифрових інструментів. Якщо в міжнародній практиці цифрові стратегії зосереджені на «глибині об'єкта» або «глибині навігації» (див. вище), то в українських реаліях вони зазнали якісної трансформації: в умовах фізичної недоступності колекцій </w:t>
      </w:r>
      <w:r>
        <w:rPr>
          <w:lang w:val="uk-UA"/>
        </w:rPr>
        <w:lastRenderedPageBreak/>
        <w:t>та загрози їх знищення цифрові ресурси вийшли за межі суто комунікаційної функції. Вони також набули критично важливих функцій документального фіксування і створення передумов для реституції через якісні метадані; до них додалося й забезпечення інституційного виживання музею.</w:t>
      </w:r>
    </w:p>
    <w:p w14:paraId="63F5AC8F" w14:textId="77777777" w:rsidR="00135B88" w:rsidRPr="00C04D43" w:rsidRDefault="00F4635C" w:rsidP="00C04D43">
      <w:pPr>
        <w:spacing w:line="360" w:lineRule="auto"/>
        <w:ind w:firstLine="705"/>
        <w:jc w:val="both"/>
        <w:rPr>
          <w:lang w:val="uk-UA"/>
        </w:rPr>
      </w:pPr>
      <w:r>
        <w:rPr>
          <w:lang w:val="uk-UA"/>
        </w:rPr>
        <w:t>Четвертий висновок стосується структурних умов розвитку. Кадровий дефіцит, нестабільне фінансування і незавершена нормативна рамка утворюють систему взаємних залежностей, а не паралельний перелік труднощів. Їх не можна усунути по черзі – жодна з трьох проблем не вирішується незалежно від двох інших. Водночас ці проблеми мають спільне коріння: відсутність інституційного визнання цифрового виставкового ресурсу таким, що потребує операційного, а не лише проєктного фінансування. Доки цифрова присутність музею розглядається як результат гранту, а не як функція установи, структурні виклики відтворюватимуться незалежно від кількості успішних проєктів.</w:t>
      </w:r>
    </w:p>
    <w:p w14:paraId="62E9D9AA" w14:textId="77777777" w:rsidR="00135B88" w:rsidRPr="00C04D43" w:rsidRDefault="00F4635C" w:rsidP="00C04D43">
      <w:pPr>
        <w:spacing w:line="360" w:lineRule="auto"/>
        <w:ind w:firstLine="705"/>
        <w:jc w:val="both"/>
        <w:rPr>
          <w:lang w:val="uk-UA"/>
        </w:rPr>
      </w:pPr>
      <w:r>
        <w:rPr>
          <w:lang w:val="uk-UA"/>
        </w:rPr>
        <w:t>П'ятий висновок стосується кадрового питання в його специфічно музейному вимірі. Проблема не зводиться до браку фахівців з інформаційних технологій. Цифровий виставковий ресурс, що має кураторську, а не суто технічну природу, вимагає поєднання двох компетенцій: розуміння виставкової драматургії, музейної медіації і логіки формування досвіду відвідувача – і здатності проєктувати та підтримувати цифрові системи. Ці компетенції рідко зустрічаються в одній особі і ще рідше – в одній посаді. Розвиток цього напряму потребує не лише залучення технічних фахівців до музейного середовища, а й формування нового профілю підготовки – на перетині мистецтвознавства, музеєзнавства і цифрових методів роботи з культурною спадщиною. Такий профіль є стандартним у провідних університетах Великої Британії, Нідерландів і США; в Україні він залишається факультативним або не сформованим.</w:t>
      </w:r>
    </w:p>
    <w:p w14:paraId="4050484B" w14:textId="77777777" w:rsidR="00135B88" w:rsidRPr="00C04D43" w:rsidRDefault="00F4635C" w:rsidP="00C04D43">
      <w:pPr>
        <w:spacing w:line="360" w:lineRule="auto"/>
        <w:ind w:firstLine="705"/>
        <w:jc w:val="both"/>
        <w:rPr>
          <w:lang w:val="uk-UA"/>
        </w:rPr>
      </w:pPr>
      <w:r>
        <w:rPr>
          <w:lang w:val="uk-UA"/>
        </w:rPr>
        <w:t xml:space="preserve">Нарешті, перспектива розвитку. Кейси цього розділу демонструють: цифровий виставковий ресурс здатний не просто компенсувати недоступне, а уможливлювати рішення, нереалізовні фізично навіть за мирних умов. </w:t>
      </w:r>
      <w:r>
        <w:rPr>
          <w:lang w:val="uk-UA"/>
        </w:rPr>
        <w:lastRenderedPageBreak/>
        <w:t>Реконструкція кураторської події 1925 року постає самостійним виставковим актом, а не замінником виставки, що відкриває вимір, недосяжний через фізичну експозицію. Разом із тим між доведеним потенціалом і стійкою практикою залишається відстань, що не скорочується сама по собі. Її подолання є інституційним вибором, а не технічним завданням: визнати цифрову виставкову функцію невід'ємною частиною музейної місії і закласти для неї відповідну матеріальну, нормативну і кадрову основу. Музеї, що пройшли через кризи 2020–2026 років і зберегли або розвинули цифрову присутність, вже зробили цей вибір – здебільшого вимушено. Подальший розвиток залежить від того, чи стане цей вибір усвідомленим і системним.</w:t>
      </w:r>
    </w:p>
    <w:p w14:paraId="62F2308C" w14:textId="77777777" w:rsidR="00135B88" w:rsidRPr="00C04D43" w:rsidRDefault="00F4635C" w:rsidP="00C04D43">
      <w:pPr>
        <w:pStyle w:val="1"/>
        <w:pageBreakBefore/>
        <w:spacing w:after="0"/>
        <w:rPr>
          <w:lang w:val="uk-UA"/>
        </w:rPr>
      </w:pPr>
      <w:bookmarkStart w:id="19" w:name="_Toc231668472"/>
      <w:r>
        <w:rPr>
          <w:caps/>
          <w:lang w:val="uk-UA"/>
        </w:rPr>
        <w:lastRenderedPageBreak/>
        <w:t>Висновки</w:t>
      </w:r>
      <w:bookmarkEnd w:id="19"/>
    </w:p>
    <w:p w14:paraId="003D59C2" w14:textId="77777777" w:rsidR="00F66C69" w:rsidRPr="00C04D43" w:rsidRDefault="00870BED" w:rsidP="00C04D43">
      <w:pPr>
        <w:spacing w:line="360" w:lineRule="auto"/>
        <w:ind w:firstLine="709"/>
        <w:jc w:val="both"/>
        <w:rPr>
          <w:lang w:val="uk-UA"/>
        </w:rPr>
      </w:pPr>
      <w:r>
        <w:rPr>
          <w:lang w:val="uk-UA"/>
        </w:rPr>
        <w:t>Проведене дослідження, присвячене ролі цифрових технологій у виставковій діяльності музеїв, поєднує теоретичний аналіз із розглядом конкретної музейної практики і дозволяє сформулювати низку взаємопов'язаних результатів, що виходять за межі опису окремих кейсів. Відповідно до поставлених у вступі завдань узагальнено такі підсумки.</w:t>
      </w:r>
    </w:p>
    <w:p w14:paraId="4CA9145C" w14:textId="77777777" w:rsidR="00F66C69" w:rsidRPr="00C04D43" w:rsidRDefault="00870BED" w:rsidP="00C04D43">
      <w:pPr>
        <w:spacing w:line="360" w:lineRule="auto"/>
        <w:ind w:firstLine="709"/>
        <w:jc w:val="both"/>
        <w:rPr>
          <w:lang w:val="uk-UA"/>
        </w:rPr>
      </w:pPr>
      <w:r>
        <w:rPr>
          <w:lang w:val="uk-UA"/>
        </w:rPr>
        <w:t>Насамперед вивчено стан наукової розробки проблеми та схарактеризовано джерельну базу дослідження. Установлено, що теоретичний апарат теми сформований переважно у зарубіжній науці – це традиція музейної комунікації Гупер-Грінгіл, концепція цифрового переходу Перрі, типології навчальних моделей Сіції, вимірювана модель MEUX Кінга зі співавторами, систематичний огляд Лі зі співавторами та критичний напрям Ніколау, Дригальської і Крісті. Натомість українська наукова думка розглядала цифровізацію передусім у ракурсі публічного управління, культурології та музейної практики, опрацювавши структурні умови переходу – нормативні засади, кадровий і фінансовий дефіцит, нерівномірність охоплення. Виявлено основну лакуну поля: брак мистецтвознавчого аналізу конкретних цифрових виставкових форматів за вимірюваними критеріями відвідувацького досвіду та відсутність академічних студій про українські документаційні ініціативи воєнного часу, частина даних про які наявна лише в неакадемічній періодиці. З'ясовано також, що нормативна прогалина, зафіксована в літературі станом на 2024 рік, наприкінці 2025 року була значною мірою усунена запровадженням дворічного експериментального проєкту Реєстру Музейного фонду України, практичні результати якого ще не стали предметом наукового аналізу. Саме поєднання міжнародного теоретичного апарату з аналізом національного матеріалу становить методологічну основу роботи.</w:t>
      </w:r>
    </w:p>
    <w:p w14:paraId="0D7EDFB3" w14:textId="77777777" w:rsidR="00F66C69" w:rsidRPr="00C04D43" w:rsidRDefault="00870BED" w:rsidP="00C04D43">
      <w:pPr>
        <w:spacing w:line="360" w:lineRule="auto"/>
        <w:ind w:firstLine="709"/>
        <w:jc w:val="both"/>
        <w:rPr>
          <w:lang w:val="uk-UA"/>
        </w:rPr>
      </w:pPr>
      <w:r>
        <w:rPr>
          <w:lang w:val="uk-UA"/>
        </w:rPr>
        <w:t xml:space="preserve">Далі розглянуто теоретичні моделі організації виставкового досвіду, насамперед модель MEUX. Установлено, що сучасне осмислення цифрових виставкових стратегій неможливе поза традицією критичного перегляду </w:t>
      </w:r>
      <w:r>
        <w:rPr>
          <w:lang w:val="uk-UA"/>
        </w:rPr>
        <w:lastRenderedPageBreak/>
        <w:t>педагогічної місії музею: концепція «педагогіки передачі» Гупер-Грінгіл і протиставлена їй модель «постмузею» задають рамку, у якій цифрові формати постають не нейтральним технічним доповненням, а вектором переходу від односпрямованої до діалогової взаємодії. Модель MEUX дозволила операціоналізувати цю опозицію через прагматичний і гедоністичний виміри й засвідчила стійке двостороннє розходження між інституційним баченням пріоритетів виставкового досвіду та реальними мотивами й очікуваннями відвідувачів, що безпосередньо впливає на оцінку будь-якої виставкової стратегії, зокрема цифрової.</w:t>
      </w:r>
    </w:p>
    <w:p w14:paraId="57588275" w14:textId="77777777" w:rsidR="00F66C69" w:rsidRPr="00C04D43" w:rsidRDefault="00870BED" w:rsidP="00C04D43">
      <w:pPr>
        <w:spacing w:line="360" w:lineRule="auto"/>
        <w:ind w:firstLine="709"/>
        <w:jc w:val="both"/>
        <w:rPr>
          <w:lang w:val="uk-UA"/>
        </w:rPr>
      </w:pPr>
      <w:r>
        <w:rPr>
          <w:lang w:val="uk-UA"/>
        </w:rPr>
        <w:t xml:space="preserve">Досліджено практики застосування цифрових технологій у виставковій діяльності музеїв світу й виокремлено два основні підходи до цифрової медіації в умовах інституційної стабільності. Перший – стратегія «глибини об'єкта», тобто вертикального занурення в матеріальність конкретного твору; вона представлена імерсивною компенсацією фізичних бар'єрів доступу у луврському проєкті «Mona Lisa: Beyond the Glass» і науковою прозорістю реставраційного процесу в Operation Night Watch у Rijksmuseum. Зіставлення луврського проєкту з моделлю teamLab Planets підтвердило якісну відмінність між медіацією конкретного об'єкта і цифровим середовищем як самодостатнім твором: у другому випадку гедоністичний вимір максимізується за рахунок прагматичного, що є усвідомленим жанровим вибором, а високий показник відвідуваності описує успіх індустрії дозвілля, а не музейну ефективність у репрезентації спадщини. Утім, масштабний інтерес до таких комерційних просторів увиразнює зміну пріоритетів сучасної аудиторії, яка прагне досвіду безпосередньої співучасті. Для традиційних інституцій це стає стимулом переглядати консервативні підходи до експонування. Перед музеями постає складне завдання: адаптувати мультисенсорні інструменти для створення глибшого емоційного контакту глядача зі спадщиною, уникаючи при цьому перетворення експозиції на суто розважальний атракціон. Другий – стратегія «глибини навігації», тобто горизонтального структурування доступу до </w:t>
      </w:r>
      <w:r>
        <w:rPr>
          <w:lang w:val="uk-UA"/>
        </w:rPr>
        <w:lastRenderedPageBreak/>
        <w:t>масиву колекції через метадані й рекомендаційні алгоритми, реалізована в цифровій архітектурі Тейт.</w:t>
      </w:r>
    </w:p>
    <w:p w14:paraId="7991B7B0" w14:textId="77777777" w:rsidR="00F66C69" w:rsidRPr="00C04D43" w:rsidRDefault="00870BED" w:rsidP="00C04D43">
      <w:pPr>
        <w:spacing w:line="360" w:lineRule="auto"/>
        <w:ind w:firstLine="709"/>
        <w:jc w:val="both"/>
        <w:rPr>
          <w:lang w:val="uk-UA"/>
        </w:rPr>
      </w:pPr>
      <w:r>
        <w:rPr>
          <w:lang w:val="uk-UA"/>
        </w:rPr>
        <w:t>Проаналізовано український досвід цифровізації виставкової діяльності в умовах війни і з'ясовано зв'язок документаційної та виставкової функцій цифрових інструментів. Установлено, що внаслідок фізичної недоступності колекцій і загрози їх знищення цифрові ресурси в Україні – на прикладі Музею Ханенків, НХМУ і платформи єМузей – розширили свою роль: до комунікаційної функції, що залишається визначальною, додалися функції документального фіксування, створення передумов для реституції та забезпечення інституційного виживання установи. Показано, що якість архівної і цифрової документації визначає межі майбутньої виставкової й реституційної роботи: за наявності верифікованого цифрового запису повернений предмет можна показати з повноцінним контекстом – атрибутованим, датованим, пов'язаним із колекційною і виставковою історією, – тоді як відсутність такого запису, як у випадку Херсонського художнього музею, ускладнює і реституцію, і повноцінну виставкову репрезентацію навіть у разі фізичного повернення предметів. З'ясовано, що стандарт CIDOC CRM набуває в цьому контексті юридичного виміру, відсутнього в мирній практиці, оскільки є передумовою міжнародних реституційних проваджень і фіксації воєнних злочинів проти культурної спадщини. Виявлено також перший у вітчизняній практиці випадок прямого інституційного зв'язку між цифровим і фізичним виміром музею – механізм відрахування коштів від онлайн-переглядів виставок єМузею на відновлення пошкодженого НХМУ.</w:t>
      </w:r>
    </w:p>
    <w:p w14:paraId="6640DE6F" w14:textId="77777777" w:rsidR="00F66C69" w:rsidRPr="00C04D43" w:rsidRDefault="00870BED" w:rsidP="00C04D43">
      <w:pPr>
        <w:spacing w:line="360" w:lineRule="auto"/>
        <w:ind w:firstLine="709"/>
        <w:jc w:val="both"/>
        <w:rPr>
          <w:lang w:val="uk-UA"/>
        </w:rPr>
      </w:pPr>
      <w:r>
        <w:rPr>
          <w:lang w:val="uk-UA"/>
        </w:rPr>
        <w:t xml:space="preserve">Нарешті систематизовано технічні, економічні та етичні ризики використання цифрових технологій в експозиціях і показано, що вони утворюють взаємопов'язану систему, а не випадковий перелік недоліків. На міжнародному матеріалі виокремлено «цифрову втому» від надмірної насиченості інтерактивними елементами, задокументовану на прикладі Музею Фридерика Шопена у Варшаві, технологічне занедбання й несумісність форматів різних поколінь, нерівний доступ до обладнання, що підважує ідею </w:t>
      </w:r>
      <w:r>
        <w:rPr>
          <w:lang w:val="uk-UA"/>
        </w:rPr>
        <w:lastRenderedPageBreak/>
        <w:t>демократизації, і принципову межу цифрової репрезентації, яка не відтворює у повноті фізичного досвіду присутності перед оригіналом. Зіставлення з українським матеріалом показало, що ці ризики набувають специфічних форм: ризик технологічного занедбання посилюється проєктною (грантовою) моделлю фінансування, за якої цифровий ресурс може зникнути так само швидко, як з'явився; нерівний доступ проявляється насамперед як цифрова відсутність регіональних музеїв, що в умовах обмеженого фізичного доступу перетворюється на виключення аудиторії з комунікації; натомість ризик «цифрової втоми» від надміру атракціонів для української практики, орієнтованої радше на документацію та збереження, ніж на видовищність, наразі менш актуальний. Визнання цих обмежень не знецінює цифрових інструментів, а дозволяє коректно розподіляти функції між фізичним і цифровим досвідом.</w:t>
      </w:r>
    </w:p>
    <w:p w14:paraId="61A24022" w14:textId="77777777" w:rsidR="00F66C69" w:rsidRPr="00C04D43" w:rsidRDefault="00870BED" w:rsidP="00C04D43">
      <w:pPr>
        <w:spacing w:line="360" w:lineRule="auto"/>
        <w:ind w:firstLine="709"/>
        <w:jc w:val="both"/>
        <w:rPr>
          <w:lang w:val="uk-UA"/>
        </w:rPr>
      </w:pPr>
      <w:r>
        <w:rPr>
          <w:lang w:val="uk-UA"/>
        </w:rPr>
        <w:t xml:space="preserve">Узагальнюючи, дослідження підтверджує і конкретизує вихідну тезу: ефективність цифрових технологій у виставковій діяльності музеїв визначається не технологічною складністю чи новизною рішень, а мірою їхньої відповідності конкретній репрезентаційній меті. Зіставлення міжнародного і вітчизняного досвіду виявляє, однак, не просто два набори практик, а дві різні логіки самого цифрового ресурсу. За кордоном, в умовах стабільності, цифровізація залишалася питанням вибору – на користь відкритості, глибини репрезентації чи ширшої аудиторії. В українському контексті війни той самий інструментарій змінив онтологічний статус: із засобу комунікації цифровий ресурс перетворився на форму існування колекції тоді, коли її фізичне існування поставлено під загрозу. Саме ця зміна статусу – а не окремі технічні рішення – є головним теоретичним результатом роботи: вона показує, що цінність цифрового запису музейного предмета не є сталою, а зростає обернено до безпеки його матеріального оригіналу. Звідси випливає висновок, що виходить за межі українського кейсу: цифрова документація має розглядатися не як завершальний, необов'язковий етап музейної роботи, а як форма страхування культурної пам'яті, потреба в якій </w:t>
      </w:r>
      <w:r>
        <w:rPr>
          <w:lang w:val="uk-UA"/>
        </w:rPr>
        <w:lastRenderedPageBreak/>
        <w:t>стає очевидною лише тоді, коли запобігти втраті вже неможливо. Тим самим цифрова виставка постає як самостійний акт збереження і репрезентації, а українська «кризова цифровізація» – як випадок, що робить видимою функцію, потенційно властиву цифровому ресурсу будь-якого музею.</w:t>
      </w:r>
    </w:p>
    <w:p w14:paraId="28834333" w14:textId="77777777" w:rsidR="00135B88" w:rsidRPr="00C04D43" w:rsidRDefault="00F4635C" w:rsidP="00C04D43">
      <w:pPr>
        <w:pStyle w:val="1"/>
        <w:pageBreakBefore/>
        <w:spacing w:after="0"/>
        <w:rPr>
          <w:lang w:val="uk-UA"/>
        </w:rPr>
      </w:pPr>
      <w:bookmarkStart w:id="20" w:name="_Toc231668473"/>
      <w:r>
        <w:rPr>
          <w:caps/>
          <w:lang w:val="uk-UA"/>
        </w:rPr>
        <w:lastRenderedPageBreak/>
        <w:t>Список використаних джерел</w:t>
      </w:r>
      <w:bookmarkEnd w:id="20"/>
    </w:p>
    <w:p w14:paraId="4EB5D61D" w14:textId="77777777" w:rsidR="00135B88" w:rsidRPr="00C04D43" w:rsidRDefault="00F4635C" w:rsidP="00C04D43">
      <w:pPr>
        <w:spacing w:line="360" w:lineRule="auto"/>
        <w:ind w:left="705" w:hanging="705"/>
        <w:jc w:val="both"/>
        <w:rPr>
          <w:lang w:val="uk-UA"/>
        </w:rPr>
      </w:pPr>
      <w:r>
        <w:rPr>
          <w:lang w:val="uk-UA"/>
        </w:rPr>
        <w:t>1. Андрес Г. Активізація цифрових проєктів в музейному середовищі України у ХХІ ст. Платонівські читання : матеріали наукової конференції. Київ : НАОМА, 2020. С. 49–50.</w:t>
      </w:r>
    </w:p>
    <w:p w14:paraId="30E40787" w14:textId="77777777" w:rsidR="00135B88" w:rsidRPr="00C04D43" w:rsidRDefault="00F4635C" w:rsidP="00C04D43">
      <w:pPr>
        <w:spacing w:line="360" w:lineRule="auto"/>
        <w:ind w:left="705" w:hanging="705"/>
        <w:jc w:val="both"/>
        <w:rPr>
          <w:lang w:val="uk-UA"/>
        </w:rPr>
      </w:pPr>
      <w:r>
        <w:rPr>
          <w:lang w:val="uk-UA"/>
        </w:rPr>
        <w:t>2. Антонова Л. Г., Гололобов С. Цифрова трансформація музейної справи: виклики та можливості для державної політики у сфері культури. Public Administration and Regional Development. 2023. № 20. С. 303–329. DOI: 10.34132/pard2023.20.02.</w:t>
      </w:r>
    </w:p>
    <w:p w14:paraId="37019C96" w14:textId="77777777" w:rsidR="00135B88" w:rsidRPr="00C04D43" w:rsidRDefault="00F4635C" w:rsidP="00C04D43">
      <w:pPr>
        <w:spacing w:line="360" w:lineRule="auto"/>
        <w:ind w:left="705" w:hanging="705"/>
        <w:jc w:val="both"/>
        <w:rPr>
          <w:lang w:val="uk-UA"/>
        </w:rPr>
      </w:pPr>
      <w:r>
        <w:rPr>
          <w:lang w:val="uk-UA"/>
        </w:rPr>
        <w:t>3. Банах В. Музейні інновації та інтерактивність у теорії та практиці музейної справи. Historical and Cultural Studies. 2016. Т. 3, № 1. С. 1–5.</w:t>
      </w:r>
    </w:p>
    <w:p w14:paraId="53E0F876" w14:textId="69DCA226" w:rsidR="00135B88" w:rsidRPr="00C04D43" w:rsidRDefault="00F4635C" w:rsidP="00C04D43">
      <w:pPr>
        <w:spacing w:line="360" w:lineRule="auto"/>
        <w:ind w:left="705" w:hanging="705"/>
        <w:jc w:val="both"/>
        <w:rPr>
          <w:lang w:val="uk-UA"/>
        </w:rPr>
      </w:pPr>
      <w:r>
        <w:rPr>
          <w:lang w:val="uk-UA"/>
        </w:rPr>
        <w:t xml:space="preserve">4. Віртуальний тур Музеєм Ханенків. Європейське мистецтво 14–19 століть / Inside Production. 2019. URL: </w:t>
      </w:r>
      <w:hyperlink r:id="rId7" w:history="1">
        <w:r>
          <w:rPr>
            <w:rStyle w:val="a5"/>
            <w:lang w:val="uk-UA"/>
          </w:rPr>
          <w:t>https://my.matterport.com/show/?m=GR38x621JeA</w:t>
        </w:r>
      </w:hyperlink>
      <w:r>
        <w:rPr>
          <w:lang w:val="uk-UA"/>
        </w:rPr>
        <w:t xml:space="preserve"> (дата звернення: 07.06.2026).</w:t>
      </w:r>
    </w:p>
    <w:p w14:paraId="78A8BC20" w14:textId="77777777" w:rsidR="00135B88" w:rsidRPr="00C04D43" w:rsidRDefault="00F4635C" w:rsidP="00C04D43">
      <w:pPr>
        <w:spacing w:line="360" w:lineRule="auto"/>
        <w:ind w:left="705" w:hanging="705"/>
        <w:jc w:val="both"/>
        <w:rPr>
          <w:lang w:val="uk-UA"/>
        </w:rPr>
      </w:pPr>
      <w:r>
        <w:rPr>
          <w:lang w:val="uk-UA"/>
        </w:rPr>
        <w:t>5. Гайдай О. Музеєзнавство : навч. посіб. Миколаїв : ЧНУ ім. Петра Могили, 2021. 192 с.</w:t>
      </w:r>
    </w:p>
    <w:p w14:paraId="7C462217" w14:textId="77777777" w:rsidR="00135B88" w:rsidRPr="00C04D43" w:rsidRDefault="00F4635C" w:rsidP="00C04D43">
      <w:pPr>
        <w:spacing w:line="360" w:lineRule="auto"/>
        <w:ind w:left="705" w:hanging="705"/>
        <w:jc w:val="both"/>
        <w:rPr>
          <w:lang w:val="uk-UA"/>
        </w:rPr>
      </w:pPr>
      <w:r>
        <w:rPr>
          <w:lang w:val="uk-UA"/>
        </w:rPr>
        <w:t>6. Гомотюк О., Кармаз М., Лебідь Т. Цифрові технології в презентації освітньо-культурної спадщини: досвід та перспективи застосування в музейній педагогіці. Освіта. Інноватика. Практика. 2025. Т. 13, № 4. С. 15–22. DOI: 10.31110/2616-650X-vol13i4-002.</w:t>
      </w:r>
    </w:p>
    <w:p w14:paraId="2996BFF9" w14:textId="5A934073" w:rsidR="00135B88" w:rsidRPr="00C04D43" w:rsidRDefault="00F4635C" w:rsidP="00C04D43">
      <w:pPr>
        <w:spacing w:line="360" w:lineRule="auto"/>
        <w:ind w:left="705" w:hanging="705"/>
        <w:jc w:val="both"/>
        <w:rPr>
          <w:lang w:val="uk-UA"/>
        </w:rPr>
      </w:pPr>
      <w:r>
        <w:rPr>
          <w:lang w:val="uk-UA"/>
        </w:rPr>
        <w:t xml:space="preserve">7. Горлач П. «За переосмислення своєї ролі під час війни»: премію за видатні музейні практики отримав Музей Ханенків у Києві. Суспільне Культура. 2024. 10 груд. URL: </w:t>
      </w:r>
      <w:hyperlink r:id="rId8" w:history="1">
        <w:r>
          <w:rPr>
            <w:rStyle w:val="a5"/>
            <w:lang w:val="uk-UA"/>
          </w:rPr>
          <w:t>https://suspilne.media/culture/899393-za-pereosmislenna-svoei-roli-pid-cas-vijni-premiu-za-vidatni-muzejni-praktiki-otrimav-muzej-hanenkiv-u-kievi/</w:t>
        </w:r>
      </w:hyperlink>
      <w:r>
        <w:rPr>
          <w:lang w:val="uk-UA"/>
        </w:rPr>
        <w:t xml:space="preserve"> (дата звернення: 20.05.2026).</w:t>
      </w:r>
    </w:p>
    <w:p w14:paraId="174F716D" w14:textId="6CFD598A" w:rsidR="00135B88" w:rsidRPr="00C04D43" w:rsidRDefault="00F4635C" w:rsidP="00C04D43">
      <w:pPr>
        <w:spacing w:line="360" w:lineRule="auto"/>
        <w:ind w:left="705" w:hanging="705"/>
        <w:jc w:val="both"/>
        <w:rPr>
          <w:lang w:val="uk-UA"/>
        </w:rPr>
      </w:pPr>
      <w:r>
        <w:rPr>
          <w:lang w:val="uk-UA"/>
        </w:rPr>
        <w:t xml:space="preserve">8. Дослідіть мистецтво, культуру та історію України на платформі Google Arts &amp; Culture. Google Україна (офіційний блоґ). 2022. 25 листоп. URL: </w:t>
      </w:r>
      <w:hyperlink r:id="rId9" w:history="1">
        <w:r>
          <w:rPr>
            <w:rStyle w:val="a5"/>
            <w:lang w:val="uk-UA"/>
          </w:rPr>
          <w:t>https://ukraine.googleblog.com/2022/11/google-arts-culture.html</w:t>
        </w:r>
      </w:hyperlink>
      <w:r>
        <w:rPr>
          <w:lang w:val="uk-UA"/>
        </w:rPr>
        <w:t xml:space="preserve"> (дата звернення: 20.05.2026).</w:t>
      </w:r>
    </w:p>
    <w:p w14:paraId="5DBF1E64" w14:textId="4A0E727F" w:rsidR="00135B88" w:rsidRPr="00C04D43" w:rsidRDefault="00F4635C" w:rsidP="00C04D43">
      <w:pPr>
        <w:spacing w:line="360" w:lineRule="auto"/>
        <w:ind w:left="705" w:hanging="705"/>
        <w:jc w:val="both"/>
        <w:rPr>
          <w:lang w:val="uk-UA"/>
        </w:rPr>
      </w:pPr>
      <w:r>
        <w:rPr>
          <w:lang w:val="uk-UA"/>
        </w:rPr>
        <w:lastRenderedPageBreak/>
        <w:t xml:space="preserve">9. До художнього музею у Києві повернуто картину, незаконно вивезену під час Другої світової. Главком. 2025. 19 трав. URL: </w:t>
      </w:r>
      <w:hyperlink r:id="rId10" w:history="1">
        <w:r>
          <w:rPr>
            <w:rStyle w:val="a5"/>
            <w:lang w:val="uk-UA"/>
          </w:rPr>
          <w:t>https://glavcom.ua/kyiv/news/do-khudozhnoho-muzeju-u-kijevi-povernuto-kartinu-1059415.html</w:t>
        </w:r>
      </w:hyperlink>
      <w:r>
        <w:rPr>
          <w:lang w:val="uk-UA"/>
        </w:rPr>
        <w:t xml:space="preserve"> (дата звернення: 20.05.2026).</w:t>
      </w:r>
    </w:p>
    <w:p w14:paraId="07FDBA39" w14:textId="77777777" w:rsidR="00135B88" w:rsidRPr="00C04D43" w:rsidRDefault="00F4635C" w:rsidP="00C04D43">
      <w:pPr>
        <w:spacing w:line="360" w:lineRule="auto"/>
        <w:ind w:left="705" w:hanging="705"/>
        <w:jc w:val="both"/>
        <w:rPr>
          <w:lang w:val="uk-UA"/>
        </w:rPr>
      </w:pPr>
      <w:r>
        <w:rPr>
          <w:lang w:val="uk-UA"/>
        </w:rPr>
        <w:t>10. Дуброва М. П. Соціокультурна роль діджиталізованих музеїв. Культурологічний альманах. 2024. Вип. 3 (11). С. 206–213. DOI: 10.31392/cult.alm.2024.3.23.</w:t>
      </w:r>
    </w:p>
    <w:p w14:paraId="2BDDD2A8" w14:textId="7D4AB15C" w:rsidR="00135B88" w:rsidRPr="00C04D43" w:rsidRDefault="00F4635C" w:rsidP="00C04D43">
      <w:pPr>
        <w:spacing w:line="360" w:lineRule="auto"/>
        <w:ind w:left="705" w:hanging="705"/>
        <w:jc w:val="both"/>
        <w:rPr>
          <w:lang w:val="uk-UA"/>
        </w:rPr>
      </w:pPr>
      <w:r>
        <w:rPr>
          <w:lang w:val="uk-UA"/>
        </w:rPr>
        <w:t xml:space="preserve">11. Закон України «Про музеї та музейну справу» від 29.06.1995 № 249/95-ВР. URL: </w:t>
      </w:r>
      <w:hyperlink r:id="rId11" w:history="1">
        <w:r>
          <w:rPr>
            <w:rStyle w:val="a5"/>
            <w:lang w:val="uk-UA"/>
          </w:rPr>
          <w:t>https://zakon.rada.gov.ua/laws/show/249/95-вр</w:t>
        </w:r>
      </w:hyperlink>
      <w:r>
        <w:rPr>
          <w:lang w:val="uk-UA"/>
        </w:rPr>
        <w:t xml:space="preserve"> (дата звернення: 20.05.2026).</w:t>
      </w:r>
    </w:p>
    <w:p w14:paraId="77E7487A" w14:textId="77777777" w:rsidR="00135B88" w:rsidRPr="00C04D43" w:rsidRDefault="00F4635C" w:rsidP="00C04D43">
      <w:pPr>
        <w:spacing w:line="360" w:lineRule="auto"/>
        <w:ind w:left="705" w:hanging="705"/>
        <w:jc w:val="both"/>
        <w:rPr>
          <w:lang w:val="uk-UA"/>
        </w:rPr>
      </w:pPr>
      <w:r>
        <w:rPr>
          <w:lang w:val="uk-UA"/>
        </w:rPr>
        <w:t>12. Іванченко Г. М. Музеї під час війни: виклики та потреба оновлення : оглядова довідка. Київ : НБУВ, Інформаційний центр з питань культури та мистецтва, 2024. (Серія «Державні заклади культури» ; вип. 8/3). 36 с.</w:t>
      </w:r>
    </w:p>
    <w:p w14:paraId="7ED45B2A" w14:textId="12909572" w:rsidR="00135B88" w:rsidRPr="00C04D43" w:rsidRDefault="00F4635C" w:rsidP="00C04D43">
      <w:pPr>
        <w:spacing w:line="360" w:lineRule="auto"/>
        <w:ind w:left="705" w:hanging="705"/>
        <w:jc w:val="both"/>
        <w:rPr>
          <w:lang w:val="uk-UA"/>
        </w:rPr>
      </w:pPr>
      <w:r>
        <w:rPr>
          <w:lang w:val="uk-UA"/>
        </w:rPr>
        <w:t xml:space="preserve">13. Кірста О. Після пошкодження NAMU російським ударом єМузей відкрив онлайн-доступ до колекції. Bazilik Media. 2026. 29 трав. URL: </w:t>
      </w:r>
      <w:hyperlink r:id="rId12" w:history="1">
        <w:r>
          <w:rPr>
            <w:rStyle w:val="a5"/>
            <w:lang w:val="uk-UA"/>
          </w:rPr>
          <w:t>https://bazilik.media/pislia-poshkodzhennia-namu-rosijskym-udarom-iemuzej/</w:t>
        </w:r>
      </w:hyperlink>
      <w:r>
        <w:rPr>
          <w:lang w:val="uk-UA"/>
        </w:rPr>
        <w:t xml:space="preserve"> (дата звернення: 29.05.2026).</w:t>
      </w:r>
    </w:p>
    <w:p w14:paraId="33BA5B5C" w14:textId="77777777" w:rsidR="00135B88" w:rsidRPr="00C04D43" w:rsidRDefault="00F4635C" w:rsidP="00C04D43">
      <w:pPr>
        <w:spacing w:line="360" w:lineRule="auto"/>
        <w:ind w:left="705" w:hanging="705"/>
        <w:jc w:val="both"/>
        <w:rPr>
          <w:lang w:val="uk-UA"/>
        </w:rPr>
      </w:pPr>
      <w:r>
        <w:rPr>
          <w:lang w:val="uk-UA"/>
        </w:rPr>
        <w:t>14. Мистецтво, культура та історія України на платформі Google Arts &amp; Culture. Імена.ua. 2022. 23 листоп. URL: https://www.imena.ua/blog/art-culture-and-history-of-ukraine/ (дата звернення: 20.05.2026).</w:t>
      </w:r>
    </w:p>
    <w:p w14:paraId="0F4FB111" w14:textId="77777777" w:rsidR="00135B88" w:rsidRPr="00C04D43" w:rsidRDefault="00F4635C" w:rsidP="00C04D43">
      <w:pPr>
        <w:spacing w:line="360" w:lineRule="auto"/>
        <w:ind w:left="705" w:hanging="705"/>
        <w:jc w:val="both"/>
        <w:rPr>
          <w:lang w:val="uk-UA"/>
        </w:rPr>
      </w:pPr>
      <w:r>
        <w:rPr>
          <w:lang w:val="uk-UA"/>
        </w:rPr>
        <w:t>15. Музей Ханенків відкриває виставку «Тим часом». LB.ua. 2023. 3 берез. URL: https://lb.ua/culture/2023/03/03/547775_muzey_hanenkiv_vidkrivaie_vistavku.html (дата звернення: 20.05.2026).</w:t>
      </w:r>
    </w:p>
    <w:p w14:paraId="7F488814" w14:textId="13CF23B3" w:rsidR="00135B88" w:rsidRPr="00C04D43" w:rsidRDefault="00F4635C" w:rsidP="00C04D43">
      <w:pPr>
        <w:spacing w:line="360" w:lineRule="auto"/>
        <w:ind w:left="705" w:hanging="705"/>
        <w:jc w:val="both"/>
        <w:rPr>
          <w:lang w:val="uk-UA"/>
        </w:rPr>
      </w:pPr>
      <w:r>
        <w:rPr>
          <w:lang w:val="uk-UA"/>
        </w:rPr>
        <w:t xml:space="preserve">16. Музей Ханенків проведе до Дня музеїв живий сет з електронною музикою. LB.ua. 2025. 14 трав. URL: </w:t>
      </w:r>
      <w:hyperlink r:id="rId13" w:history="1">
        <w:r>
          <w:rPr>
            <w:rStyle w:val="a5"/>
            <w:lang w:val="uk-UA"/>
          </w:rPr>
          <w:t>https://lb.ua/culture/2025/05/14/676263_muzey_hanenkiv_provede_dnya_muzeiv.html</w:t>
        </w:r>
      </w:hyperlink>
      <w:r>
        <w:rPr>
          <w:lang w:val="uk-UA"/>
        </w:rPr>
        <w:t xml:space="preserve"> (дата звернення: 20.05.2026).</w:t>
      </w:r>
    </w:p>
    <w:p w14:paraId="1C995C3B" w14:textId="652F32B2" w:rsidR="00135B88" w:rsidRPr="00C04D43" w:rsidRDefault="00F4635C" w:rsidP="00C04D43">
      <w:pPr>
        <w:spacing w:line="360" w:lineRule="auto"/>
        <w:ind w:left="705" w:hanging="705"/>
        <w:jc w:val="both"/>
        <w:rPr>
          <w:lang w:val="uk-UA"/>
        </w:rPr>
      </w:pPr>
      <w:r>
        <w:rPr>
          <w:lang w:val="uk-UA"/>
        </w:rPr>
        <w:t xml:space="preserve">17. Музей Ханенків. Віртуальні 3D-тури. URL: </w:t>
      </w:r>
      <w:hyperlink r:id="rId14" w:history="1">
        <w:r>
          <w:rPr>
            <w:rStyle w:val="a5"/>
            <w:lang w:val="uk-UA"/>
          </w:rPr>
          <w:t>https://khanenko.museum/3-d-tur-muzeyem/</w:t>
        </w:r>
      </w:hyperlink>
      <w:r>
        <w:rPr>
          <w:lang w:val="uk-UA"/>
        </w:rPr>
        <w:t xml:space="preserve"> (дата звернення: 20.05.2026).</w:t>
      </w:r>
    </w:p>
    <w:p w14:paraId="42740BBD" w14:textId="63C2A5D4" w:rsidR="00135B88" w:rsidRPr="00C04D43" w:rsidRDefault="00F4635C" w:rsidP="00C04D43">
      <w:pPr>
        <w:spacing w:line="360" w:lineRule="auto"/>
        <w:ind w:left="705" w:hanging="705"/>
        <w:jc w:val="both"/>
        <w:rPr>
          <w:lang w:val="uk-UA"/>
        </w:rPr>
      </w:pPr>
      <w:r>
        <w:rPr>
          <w:lang w:val="uk-UA"/>
        </w:rPr>
        <w:lastRenderedPageBreak/>
        <w:t xml:space="preserve">18. Національний художній музей України повністю відтворили у віртуальній реальності. Суспільне Медіа. 2025. 6 серп. URL: </w:t>
      </w:r>
      <w:hyperlink r:id="rId15" w:history="1">
        <w:r>
          <w:rPr>
            <w:rStyle w:val="a5"/>
            <w:lang w:val="uk-UA"/>
          </w:rPr>
          <w:t>https://suspilne.media/culture/1084355-nacionalnij-hudoznij-muzej-ukraini-povnistu-vidtvorili-u-virtualnij-realnosti/</w:t>
        </w:r>
      </w:hyperlink>
      <w:r>
        <w:rPr>
          <w:lang w:val="uk-UA"/>
        </w:rPr>
        <w:t xml:space="preserve"> (дата звернення: 20.05.2026).</w:t>
      </w:r>
    </w:p>
    <w:p w14:paraId="78F3365C" w14:textId="77777777" w:rsidR="00135B88" w:rsidRPr="00C04D43" w:rsidRDefault="00F4635C" w:rsidP="00C04D43">
      <w:pPr>
        <w:spacing w:line="360" w:lineRule="auto"/>
        <w:ind w:left="705" w:hanging="705"/>
        <w:jc w:val="both"/>
        <w:rPr>
          <w:lang w:val="uk-UA"/>
        </w:rPr>
      </w:pPr>
      <w:r>
        <w:rPr>
          <w:lang w:val="uk-UA"/>
        </w:rPr>
        <w:t>19. Національний художній музей України. Офіційний вебсайт. URL: https://namu.ua (дата звернення: 20.05.2026).</w:t>
      </w:r>
    </w:p>
    <w:p w14:paraId="25796C6C" w14:textId="5651B972" w:rsidR="00135B88" w:rsidRPr="00C04D43" w:rsidRDefault="00F4635C" w:rsidP="00C04D43">
      <w:pPr>
        <w:spacing w:line="360" w:lineRule="auto"/>
        <w:ind w:left="705" w:hanging="705"/>
        <w:jc w:val="both"/>
        <w:rPr>
          <w:lang w:val="uk-UA"/>
        </w:rPr>
      </w:pPr>
      <w:r>
        <w:rPr>
          <w:lang w:val="uk-UA"/>
        </w:rPr>
        <w:t xml:space="preserve">20. </w:t>
      </w:r>
      <w:r>
        <w:t xml:space="preserve">Національний художній музей показав наслідки атаки на Київ (ФОТО). </w:t>
      </w:r>
      <w:r>
        <w:rPr>
          <w:rStyle w:val="ad"/>
        </w:rPr>
        <w:t>Суспільне Культура</w:t>
      </w:r>
      <w:r>
        <w:t xml:space="preserve">. 2026. 25 трав. URL: </w:t>
      </w:r>
      <w:hyperlink r:id="rId16" w:history="1">
        <w:r>
          <w:rPr>
            <w:rStyle w:val="a5"/>
          </w:rPr>
          <w:t>https://suspilne.media/culture/1315240-nacionalnij-hudoznij-muzej-pokazav-naslidki-pisla-rosijskoi-ataki-na-kiiv-foto/</w:t>
        </w:r>
      </w:hyperlink>
      <w:r>
        <w:t xml:space="preserve"> (дата звернення: 29.05.2026).</w:t>
      </w:r>
    </w:p>
    <w:p w14:paraId="3E412E98" w14:textId="77777777" w:rsidR="00135B88" w:rsidRPr="00C04D43" w:rsidRDefault="00F4635C" w:rsidP="00C04D43">
      <w:pPr>
        <w:spacing w:line="360" w:lineRule="auto"/>
        <w:ind w:left="705" w:hanging="705"/>
        <w:jc w:val="both"/>
        <w:rPr>
          <w:lang w:val="uk-UA"/>
        </w:rPr>
      </w:pPr>
      <w:r>
        <w:rPr>
          <w:lang w:val="uk-UA"/>
        </w:rPr>
        <w:t>21. Орищук В. В. Напрями цифрового розвитку у сфері музейної справи. Вісник НАДУ. Серія «Державне управління». 2021. № 2 (101). С. 84–90. DOI: 10.36030/2310-2837-2(101)-2021-84-90.</w:t>
      </w:r>
    </w:p>
    <w:p w14:paraId="65A5625F" w14:textId="77777777" w:rsidR="00135B88" w:rsidRPr="00C04D43" w:rsidRDefault="00F4635C" w:rsidP="00C04D43">
      <w:pPr>
        <w:spacing w:line="360" w:lineRule="auto"/>
        <w:ind w:left="705" w:hanging="705"/>
        <w:jc w:val="both"/>
        <w:rPr>
          <w:lang w:val="uk-UA"/>
        </w:rPr>
      </w:pPr>
      <w:r>
        <w:rPr>
          <w:lang w:val="uk-UA"/>
        </w:rPr>
        <w:t>22. Панас Н. Б. Використання цифрових технологій у музейній та пам'яткоохоронній діяльності. Young Scientist. 2019. № 6 (70). С. 257–262. DOI: 10.32839/2304-5809/2019-6-70-49.</w:t>
      </w:r>
    </w:p>
    <w:p w14:paraId="2CD34567" w14:textId="2CD34567" w:rsidR="00135B88" w:rsidRPr="00C04D43" w:rsidRDefault="00F4635C" w:rsidP="00C04D43">
      <w:pPr>
        <w:spacing w:line="360" w:lineRule="auto"/>
        <w:ind w:left="705" w:hanging="705"/>
        <w:jc w:val="both"/>
        <w:rPr>
          <w:lang w:val="uk-UA"/>
        </w:rPr>
      </w:pPr>
      <w:r>
        <w:rPr>
          <w:lang w:val="uk-UA"/>
        </w:rPr>
        <w:t>23. Павлова А. А. Цифровий спротив: трансформація виставкових стратегій українських музеїв в умовах війни (на прикладі проеєктів Музею Ханенків та співпраці з HeMo). Інновації в архітектурі, дизайні та мистецтві : збірник матеріалів V Міжнар. наук.-практ. конф., Київ, 13–15 травня 2026 р. / НАОМА [за ред. С. В. Стоянович]. Київ, 2026. С. 336–338.</w:t>
      </w:r>
    </w:p>
    <w:p w14:paraId="14BBB899" w14:textId="77777777" w:rsidR="00135B88" w:rsidRPr="00C04D43" w:rsidRDefault="00F4635C" w:rsidP="00C04D43">
      <w:pPr>
        <w:spacing w:line="360" w:lineRule="auto"/>
        <w:ind w:left="705" w:hanging="705"/>
        <w:jc w:val="both"/>
        <w:rPr>
          <w:lang w:val="uk-UA"/>
        </w:rPr>
      </w:pPr>
      <w:r>
        <w:rPr>
          <w:lang w:val="uk-UA"/>
        </w:rPr>
        <w:t>24. Парадиз В. В., Ковальчук Н. М. Оцифровування музейних фондів: правові та практичні аспекти. Вісник Книжкової палати. 2024. № 1 (330). С. 40–47. DOI: 10.36273/2076-9555.2024.1(330).40-46.</w:t>
      </w:r>
    </w:p>
    <w:p w14:paraId="00A57025" w14:textId="077DD3BA" w:rsidR="00135B88" w:rsidRPr="00C04D43" w:rsidRDefault="00F4635C" w:rsidP="00C04D43">
      <w:pPr>
        <w:spacing w:line="360" w:lineRule="auto"/>
        <w:ind w:left="705" w:hanging="705"/>
        <w:jc w:val="both"/>
        <w:rPr>
          <w:lang w:val="uk-UA"/>
        </w:rPr>
      </w:pPr>
      <w:r>
        <w:rPr>
          <w:lang w:val="uk-UA"/>
        </w:rPr>
        <w:t xml:space="preserve">25. Положення про Музейний фонд України : постанова Кабінету Міністрів України від 20.07.2000 № 1147. URL: </w:t>
      </w:r>
      <w:hyperlink r:id="rId17" w:history="1">
        <w:r>
          <w:rPr>
            <w:rStyle w:val="a5"/>
            <w:lang w:val="uk-UA"/>
          </w:rPr>
          <w:t>https://zakon.rada.gov.ua/laws/show/1147-2000-п</w:t>
        </w:r>
      </w:hyperlink>
      <w:r>
        <w:rPr>
          <w:lang w:val="uk-UA"/>
        </w:rPr>
        <w:t xml:space="preserve"> (дата звернення: 20.05.2026).</w:t>
      </w:r>
    </w:p>
    <w:p w14:paraId="65CBF582" w14:textId="4ECAB793" w:rsidR="00135B88" w:rsidRPr="00C04D43" w:rsidRDefault="00F4635C" w:rsidP="00C04D43">
      <w:pPr>
        <w:spacing w:line="360" w:lineRule="auto"/>
        <w:ind w:left="705" w:hanging="705"/>
        <w:jc w:val="both"/>
        <w:rPr>
          <w:lang w:val="uk-UA"/>
        </w:rPr>
      </w:pPr>
      <w:r>
        <w:rPr>
          <w:lang w:val="uk-UA"/>
        </w:rPr>
        <w:lastRenderedPageBreak/>
        <w:t xml:space="preserve">26. Про деякі питання обліку державної частини Музейного фонду України : наказ Міністерства культури України від 05.11.2014 № 943. URL: </w:t>
      </w:r>
      <w:hyperlink r:id="rId18" w:history="1">
        <w:r>
          <w:rPr>
            <w:rStyle w:val="a5"/>
            <w:lang w:val="uk-UA"/>
          </w:rPr>
          <w:t>https://zakon.rada.gov.ua/laws/show/z1445-14</w:t>
        </w:r>
      </w:hyperlink>
      <w:r>
        <w:rPr>
          <w:lang w:val="uk-UA"/>
        </w:rPr>
        <w:t xml:space="preserve"> (дата звернення: 20.05.2026).</w:t>
      </w:r>
    </w:p>
    <w:p w14:paraId="5C9673A9" w14:textId="6C2FC9D1" w:rsidR="00135B88" w:rsidRPr="00C04D43" w:rsidRDefault="00F4635C" w:rsidP="00C04D43">
      <w:pPr>
        <w:spacing w:line="360" w:lineRule="auto"/>
        <w:ind w:left="705" w:hanging="705"/>
        <w:jc w:val="both"/>
        <w:rPr>
          <w:lang w:val="uk-UA"/>
        </w:rPr>
      </w:pPr>
      <w:r>
        <w:rPr>
          <w:lang w:val="uk-UA"/>
        </w:rPr>
        <w:t xml:space="preserve">27. Про реалізацію експериментального проекту щодо запровадження Реєстру Музейного фонду України : постанова Кабінету Міністрів України від 29.10.2025 № 1389 // Офіційний вісник України. 2025. № 91. URL: </w:t>
      </w:r>
      <w:hyperlink r:id="rId19" w:history="1">
        <w:r>
          <w:rPr>
            <w:rStyle w:val="a5"/>
            <w:lang w:val="uk-UA"/>
          </w:rPr>
          <w:t>https://zakon.rada.gov.ua/laws/show/1389-2025-п</w:t>
        </w:r>
      </w:hyperlink>
      <w:r>
        <w:rPr>
          <w:lang w:val="uk-UA"/>
        </w:rPr>
        <w:t xml:space="preserve"> (дата звернення: 07.06.2026).</w:t>
      </w:r>
    </w:p>
    <w:p w14:paraId="12E0143B" w14:textId="77777777" w:rsidR="00135B88" w:rsidRPr="00C04D43" w:rsidRDefault="00F4635C" w:rsidP="00C04D43">
      <w:pPr>
        <w:spacing w:line="360" w:lineRule="auto"/>
        <w:ind w:left="705" w:hanging="705"/>
        <w:jc w:val="both"/>
        <w:rPr>
          <w:lang w:val="uk-UA"/>
        </w:rPr>
      </w:pPr>
      <w:r>
        <w:rPr>
          <w:lang w:val="uk-UA"/>
        </w:rPr>
        <w:t>28. Реалізація державної політики цифрового розвитку у сфері музейної справи. Аспекти публічного управління. 2023. Т. 11, № 3. С. 46–57.</w:t>
      </w:r>
    </w:p>
    <w:p w14:paraId="3974DC3F" w14:textId="25F88D54" w:rsidR="00135B88" w:rsidRPr="00C04D43" w:rsidRDefault="00F4635C" w:rsidP="00C04D43">
      <w:pPr>
        <w:spacing w:line="360" w:lineRule="auto"/>
        <w:ind w:left="705" w:hanging="705"/>
        <w:jc w:val="both"/>
        <w:rPr>
          <w:lang w:val="uk-UA"/>
        </w:rPr>
      </w:pPr>
      <w:r>
        <w:rPr>
          <w:lang w:val="uk-UA"/>
        </w:rPr>
        <w:t xml:space="preserve">29. Реєстр Музейного фонду України. Офіційний портал. URL: </w:t>
      </w:r>
      <w:hyperlink r:id="rId20" w:history="1">
        <w:r>
          <w:rPr>
            <w:rStyle w:val="a5"/>
            <w:lang w:val="uk-UA"/>
          </w:rPr>
          <w:t>https://museum.mincult.gov.ua</w:t>
        </w:r>
      </w:hyperlink>
      <w:r>
        <w:rPr>
          <w:lang w:val="uk-UA"/>
        </w:rPr>
        <w:t xml:space="preserve"> (дата звернення: 20.05.2026).</w:t>
      </w:r>
    </w:p>
    <w:p w14:paraId="53323B4C" w14:textId="77777777" w:rsidR="00135B88" w:rsidRPr="00C04D43" w:rsidRDefault="00F4635C" w:rsidP="00C04D43">
      <w:pPr>
        <w:spacing w:line="360" w:lineRule="auto"/>
        <w:ind w:left="705" w:hanging="705"/>
        <w:jc w:val="both"/>
        <w:rPr>
          <w:lang w:val="uk-UA"/>
        </w:rPr>
      </w:pPr>
      <w:r>
        <w:rPr>
          <w:lang w:val="uk-UA"/>
        </w:rPr>
        <w:t>30. Сизон О. Інноваційні музейні заклади у світі та в Україні. Географія та туризм : наук. зб. 2010. Вип. 9. С. 120–125.</w:t>
      </w:r>
    </w:p>
    <w:p w14:paraId="4919A75A" w14:textId="333131B5" w:rsidR="00135B88" w:rsidRPr="00C04D43" w:rsidRDefault="00F4635C" w:rsidP="00C04D43">
      <w:pPr>
        <w:spacing w:line="360" w:lineRule="auto"/>
        <w:ind w:left="705" w:hanging="705"/>
        <w:jc w:val="both"/>
        <w:rPr>
          <w:lang w:val="uk-UA"/>
        </w:rPr>
      </w:pPr>
      <w:r>
        <w:rPr>
          <w:lang w:val="uk-UA"/>
        </w:rPr>
        <w:t xml:space="preserve">31. У ЗСУ створили спеціальний підрозділ із захисту культурної спадщини. Українська правда. Життя. 2024. 21 груд. URL: </w:t>
      </w:r>
      <w:hyperlink r:id="rId21" w:history="1">
        <w:r>
          <w:rPr>
            <w:rStyle w:val="a5"/>
            <w:lang w:val="uk-UA"/>
          </w:rPr>
          <w:t>https://life.pravda.com.ua/culture/u-zsu-stvorili-specialniy-pidrozdil-305513/</w:t>
        </w:r>
      </w:hyperlink>
      <w:r>
        <w:rPr>
          <w:lang w:val="uk-UA"/>
        </w:rPr>
        <w:t xml:space="preserve"> (дата звернення: 20.05.2026).</w:t>
      </w:r>
    </w:p>
    <w:p w14:paraId="7836123E" w14:textId="0E6176FA" w:rsidR="00135B88" w:rsidRPr="00C04D43" w:rsidRDefault="00F4635C" w:rsidP="00C04D43">
      <w:pPr>
        <w:spacing w:line="360" w:lineRule="auto"/>
        <w:ind w:left="705" w:hanging="705"/>
        <w:jc w:val="both"/>
        <w:rPr>
          <w:lang w:val="uk-UA"/>
        </w:rPr>
      </w:pPr>
      <w:r>
        <w:rPr>
          <w:lang w:val="uk-UA"/>
        </w:rPr>
        <w:t xml:space="preserve">32. Цифровізація Музейного фонду України: представники 12 провідних музеїв розпочнуть тестування прототипу електронної системи реєстру. МКІП України. 2023. URL: </w:t>
      </w:r>
      <w:hyperlink r:id="rId22" w:history="1">
        <w:r>
          <w:rPr>
            <w:rStyle w:val="a5"/>
            <w:lang w:val="uk-UA"/>
          </w:rPr>
          <w:t>https://mcsc.gov.ua/news/czyfrovizacziya-muzejnogo-fondu-ukrayiny/</w:t>
        </w:r>
      </w:hyperlink>
      <w:r>
        <w:rPr>
          <w:lang w:val="uk-UA"/>
        </w:rPr>
        <w:t xml:space="preserve"> (дата звернення: 20.05.2026).</w:t>
      </w:r>
    </w:p>
    <w:p w14:paraId="4D66B99A" w14:textId="77777777" w:rsidR="00135B88" w:rsidRPr="00C04D43" w:rsidRDefault="00F4635C" w:rsidP="00C04D43">
      <w:pPr>
        <w:spacing w:line="360" w:lineRule="auto"/>
        <w:ind w:left="705" w:hanging="705"/>
        <w:jc w:val="both"/>
        <w:rPr>
          <w:lang w:val="uk-UA"/>
        </w:rPr>
      </w:pPr>
      <w:r>
        <w:rPr>
          <w:lang w:val="uk-UA"/>
        </w:rPr>
        <w:t xml:space="preserve">33. Що таке цифровізація музеїв і чому це необхідно – досвід </w:t>
      </w:r>
      <w:r>
        <w:rPr>
          <w:lang w:val="en-US"/>
        </w:rPr>
        <w:t>Ukrainian</w:t>
      </w:r>
      <w:r w:rsidRPr="00194EBF">
        <w:rPr>
          <w:lang w:val="uk-UA"/>
        </w:rPr>
        <w:t xml:space="preserve"> </w:t>
      </w:r>
      <w:r>
        <w:rPr>
          <w:lang w:val="en-US"/>
        </w:rPr>
        <w:t>Heritage</w:t>
      </w:r>
      <w:r w:rsidRPr="00194EBF">
        <w:rPr>
          <w:lang w:val="uk-UA"/>
        </w:rPr>
        <w:t xml:space="preserve"> </w:t>
      </w:r>
      <w:r>
        <w:rPr>
          <w:lang w:val="en-US"/>
        </w:rPr>
        <w:t>Monitoring</w:t>
      </w:r>
      <w:r w:rsidRPr="00194EBF">
        <w:rPr>
          <w:lang w:val="uk-UA"/>
        </w:rPr>
        <w:t xml:space="preserve"> </w:t>
      </w:r>
      <w:r>
        <w:rPr>
          <w:lang w:val="en-US"/>
        </w:rPr>
        <w:t>Lab</w:t>
      </w:r>
      <w:r>
        <w:rPr>
          <w:lang w:val="uk-UA"/>
        </w:rPr>
        <w:t>. Україна: події, факти, коментарі : інформаційно-аналітичний журнал / НБУВ. 2024. № 12. С. 53–57.</w:t>
      </w:r>
    </w:p>
    <w:p w14:paraId="78EB2421" w14:textId="77777777" w:rsidR="00135B88" w:rsidRPr="00C04D43" w:rsidRDefault="00F4635C" w:rsidP="00C04D43">
      <w:pPr>
        <w:spacing w:line="360" w:lineRule="auto"/>
        <w:ind w:left="705" w:hanging="705"/>
        <w:jc w:val="both"/>
        <w:rPr>
          <w:lang w:val="uk-UA"/>
        </w:rPr>
      </w:pPr>
      <w:r>
        <w:rPr>
          <w:lang w:val="uk-UA"/>
        </w:rPr>
        <w:t>34. Шинкарук А., Самсонюк Т. Цифрова готовність в публічному управлінні музеями. Публічно-управлінські та цифрові практики. 2025. Вип. 1 (4). С. 122–133. DOI: 10.31673/2786-7412.2025.016940.</w:t>
      </w:r>
    </w:p>
    <w:p w14:paraId="6FD6085C" w14:textId="30512E14" w:rsidR="00135B88" w:rsidRPr="00F52A8E" w:rsidRDefault="00F4635C" w:rsidP="00C04D43">
      <w:pPr>
        <w:spacing w:line="360" w:lineRule="auto"/>
        <w:ind w:left="705" w:hanging="705"/>
        <w:jc w:val="both"/>
        <w:rPr>
          <w:lang w:val="en-US"/>
        </w:rPr>
      </w:pPr>
      <w:r>
        <w:rPr>
          <w:lang w:val="uk-UA"/>
        </w:rPr>
        <w:lastRenderedPageBreak/>
        <w:t>35</w:t>
      </w:r>
      <w:r w:rsidRPr="00194EBF">
        <w:rPr>
          <w:lang w:val="uk-UA"/>
        </w:rPr>
        <w:t xml:space="preserve">. </w:t>
      </w:r>
      <w:r>
        <w:rPr>
          <w:lang w:val="en-US"/>
        </w:rPr>
        <w:t>Associated</w:t>
      </w:r>
      <w:r w:rsidRPr="00194EBF">
        <w:rPr>
          <w:lang w:val="uk-UA"/>
        </w:rPr>
        <w:t xml:space="preserve"> </w:t>
      </w:r>
      <w:r>
        <w:rPr>
          <w:lang w:val="en-US"/>
        </w:rPr>
        <w:t>Press</w:t>
      </w:r>
      <w:r w:rsidRPr="00194EBF">
        <w:rPr>
          <w:lang w:val="uk-UA"/>
        </w:rPr>
        <w:t xml:space="preserve">. </w:t>
      </w:r>
      <w:r>
        <w:rPr>
          <w:lang w:val="en-US"/>
        </w:rPr>
        <w:t xml:space="preserve">Russia Has Looted Thousands of Ukrainian Cultural Objects in the War. Finding Them Is a Challenge. 2026. 17 April. URL: </w:t>
      </w:r>
      <w:hyperlink r:id="rId23" w:history="1">
        <w:r>
          <w:rPr>
            <w:rStyle w:val="a5"/>
            <w:lang w:val="en-US"/>
          </w:rPr>
          <w:t>https://www.military.com/daily-news/2026/04/19/russia-has-looted-thousands-of-ukrainian-cultural-objects-war-finding-them-challenge.html</w:t>
        </w:r>
      </w:hyperlink>
      <w:r>
        <w:rPr>
          <w:lang w:val="en-US"/>
        </w:rPr>
        <w:t xml:space="preserve"> (accessed 20.05.2026).</w:t>
      </w:r>
    </w:p>
    <w:p w14:paraId="010BB3BA" w14:textId="77777777" w:rsidR="00135B88" w:rsidRPr="00F52A8E" w:rsidRDefault="00F4635C" w:rsidP="00C04D43">
      <w:pPr>
        <w:spacing w:line="360" w:lineRule="auto"/>
        <w:ind w:left="705" w:hanging="705"/>
        <w:jc w:val="both"/>
        <w:rPr>
          <w:lang w:val="en-US"/>
        </w:rPr>
      </w:pPr>
      <w:r>
        <w:rPr>
          <w:lang w:val="en-US"/>
        </w:rPr>
        <w:t>36. Bertacchini E., Morando F. The Future of Museums in the Digital Age: New Models for Access to and Use of Digital Collections. International Journal of Arts Management. 2013. Vol. 15, No. 2. P. 60–72.</w:t>
      </w:r>
    </w:p>
    <w:p w14:paraId="38FA9540" w14:textId="77777777" w:rsidR="00135B88" w:rsidRPr="00F52A8E" w:rsidRDefault="00F4635C" w:rsidP="00C04D43">
      <w:pPr>
        <w:spacing w:line="360" w:lineRule="auto"/>
        <w:ind w:left="705" w:hanging="705"/>
        <w:jc w:val="both"/>
        <w:rPr>
          <w:lang w:val="en-US"/>
        </w:rPr>
      </w:pPr>
      <w:r>
        <w:rPr>
          <w:lang w:val="en-US"/>
        </w:rPr>
        <w:t>37. Christie I. A Disturbing Presence? Scenes from the History of Film in the Museum. Film, Art, New Media: Museum Without Walls? / ed. by A. Dalle Vacche. London : Palgrave Macmillan, 2012. P. 241–255. DOI: 10.1057/9781137026132_13.</w:t>
      </w:r>
    </w:p>
    <w:p w14:paraId="003C9850" w14:textId="0D8339A9" w:rsidR="00135B88" w:rsidRPr="00F52A8E" w:rsidRDefault="00F4635C" w:rsidP="00C04D43">
      <w:pPr>
        <w:spacing w:line="360" w:lineRule="auto"/>
        <w:ind w:left="705" w:hanging="705"/>
        <w:jc w:val="both"/>
        <w:rPr>
          <w:lang w:val="en-US"/>
        </w:rPr>
      </w:pPr>
      <w:r>
        <w:rPr>
          <w:lang w:val="en-US"/>
        </w:rPr>
        <w:t xml:space="preserve">38. CIDOC CRM Special Interest Group. CIDOC Conceptual Reference Model (CRM), ISO 21127:2023. cidoc-crm.org. 2023. URL: </w:t>
      </w:r>
      <w:hyperlink r:id="rId24" w:history="1">
        <w:r>
          <w:rPr>
            <w:rStyle w:val="a5"/>
            <w:lang w:val="en-US"/>
          </w:rPr>
          <w:t>https://cidoc-crm.org</w:t>
        </w:r>
      </w:hyperlink>
      <w:r>
        <w:rPr>
          <w:lang w:val="en-US"/>
        </w:rPr>
        <w:t xml:space="preserve"> (accessed 20.05.2026).</w:t>
      </w:r>
    </w:p>
    <w:p w14:paraId="2FABEEC2" w14:textId="5CDEE919" w:rsidR="00135B88" w:rsidRPr="00F52A8E" w:rsidRDefault="00F4635C" w:rsidP="00C04D43">
      <w:pPr>
        <w:spacing w:line="360" w:lineRule="auto"/>
        <w:ind w:left="705" w:hanging="705"/>
        <w:jc w:val="both"/>
        <w:rPr>
          <w:lang w:val="en-US"/>
        </w:rPr>
      </w:pPr>
      <w:r>
        <w:rPr>
          <w:lang w:val="en-US"/>
        </w:rPr>
        <w:t xml:space="preserve">39. Council of Europe. Register of Damage Caused by the Aggression of the Russian Federation Against Ukraine. The Hague, 2023. URL: </w:t>
      </w:r>
      <w:hyperlink r:id="rId25" w:history="1">
        <w:r>
          <w:rPr>
            <w:rStyle w:val="a5"/>
            <w:lang w:val="en-US"/>
          </w:rPr>
          <w:t>https://rd4u.coe.int/en/</w:t>
        </w:r>
      </w:hyperlink>
      <w:r>
        <w:rPr>
          <w:lang w:val="en-US"/>
        </w:rPr>
        <w:t xml:space="preserve"> (accessed 20.05.2026).</w:t>
      </w:r>
    </w:p>
    <w:p w14:paraId="71F35D12" w14:textId="3A33E357" w:rsidR="00135B88" w:rsidRPr="00F52A8E" w:rsidRDefault="00F4635C" w:rsidP="00C04D43">
      <w:pPr>
        <w:spacing w:line="360" w:lineRule="auto"/>
        <w:ind w:left="705" w:hanging="705"/>
        <w:jc w:val="both"/>
        <w:rPr>
          <w:lang w:val="en-US"/>
        </w:rPr>
      </w:pPr>
      <w:r>
        <w:rPr>
          <w:lang w:val="en-US"/>
        </w:rPr>
        <w:t xml:space="preserve">40. Dombrowski Q., Kijas A., Majstorovic S. Review: Saving Ukrainian Cultural Heritage Online. Reviews in Digital Humanities. 2025. Vol. 6, No. 4. URL: </w:t>
      </w:r>
      <w:hyperlink r:id="rId26" w:history="1">
        <w:r>
          <w:rPr>
            <w:rStyle w:val="a5"/>
            <w:lang w:val="en-US"/>
          </w:rPr>
          <w:t>https://reviewsindh.pubpub.org/pub/saving-ukranian-cultural-heritage-online/release/1</w:t>
        </w:r>
      </w:hyperlink>
      <w:r>
        <w:rPr>
          <w:lang w:val="en-US"/>
        </w:rPr>
        <w:t xml:space="preserve"> (accessed 20.05.2026).</w:t>
      </w:r>
    </w:p>
    <w:p w14:paraId="2046668A" w14:textId="77777777" w:rsidR="00135B88" w:rsidRPr="00F52A8E" w:rsidRDefault="00F4635C" w:rsidP="00C04D43">
      <w:pPr>
        <w:spacing w:line="360" w:lineRule="auto"/>
        <w:ind w:left="705" w:hanging="705"/>
        <w:jc w:val="both"/>
        <w:rPr>
          <w:lang w:val="en-US"/>
        </w:rPr>
      </w:pPr>
      <w:r>
        <w:rPr>
          <w:lang w:val="en-US"/>
        </w:rPr>
        <w:t>41. Drygalska E. Technologically Mediated Experiences of Visitors to the Frederic Chopin Museum: Postphenomenological Perspective on Touchscreens Affordances. Journal on Computing and Cultural Heritage. 2024. Vol. 17, No. 1. P. 1–22. DOI: 10.1145/3631127.</w:t>
      </w:r>
    </w:p>
    <w:p w14:paraId="47D87E4B" w14:textId="2A50E6A8" w:rsidR="00135B88" w:rsidRPr="00F52A8E" w:rsidRDefault="00F4635C" w:rsidP="00C04D43">
      <w:pPr>
        <w:spacing w:line="360" w:lineRule="auto"/>
        <w:ind w:left="705" w:hanging="705"/>
        <w:jc w:val="both"/>
        <w:rPr>
          <w:lang w:val="en-US"/>
        </w:rPr>
      </w:pPr>
      <w:r>
        <w:rPr>
          <w:lang w:val="en-US"/>
        </w:rPr>
        <w:t xml:space="preserve">42. Euromaidan Press. Tribunal or Restitution? Ukraine Eyes Ways to Return One of Its Richest Art Collections Looted by Russia. 2023. 27 Jan. URL: </w:t>
      </w:r>
      <w:hyperlink r:id="rId27" w:history="1">
        <w:r>
          <w:rPr>
            <w:rStyle w:val="a5"/>
            <w:lang w:val="en-US"/>
          </w:rPr>
          <w:t>https://euromaidanpress.com/2023/01/27/tribunal-or-restitution/</w:t>
        </w:r>
      </w:hyperlink>
      <w:r>
        <w:rPr>
          <w:lang w:val="en-US"/>
        </w:rPr>
        <w:t xml:space="preserve"> (accessed 20.05.2026).</w:t>
      </w:r>
    </w:p>
    <w:p w14:paraId="5771EBFF" w14:textId="2955FC30" w:rsidR="00135B88" w:rsidRPr="00F52A8E" w:rsidRDefault="00F4635C" w:rsidP="00C04D43">
      <w:pPr>
        <w:spacing w:line="360" w:lineRule="auto"/>
        <w:ind w:left="705" w:hanging="705"/>
        <w:jc w:val="both"/>
        <w:rPr>
          <w:lang w:val="en-US"/>
        </w:rPr>
      </w:pPr>
      <w:r>
        <w:rPr>
          <w:lang w:val="en-US"/>
        </w:rPr>
        <w:lastRenderedPageBreak/>
        <w:t xml:space="preserve">43. Euronews. Ukraine Is Racing to 3D Scan Its Monuments in Case They're Bombed in the War and Need Restoration. 2023. 22 Jan. URL: </w:t>
      </w:r>
      <w:hyperlink r:id="rId28" w:history="1">
        <w:r>
          <w:rPr>
            <w:rStyle w:val="a5"/>
            <w:lang w:val="en-US"/>
          </w:rPr>
          <w:t>https://www.euronews.com/next/2023/01/22/ukraine-is-racing-to-3d-scan-its-monuments-in-case-theyre-bombed-in-the-war-and-need-resto</w:t>
        </w:r>
      </w:hyperlink>
      <w:r>
        <w:rPr>
          <w:lang w:val="en-US"/>
        </w:rPr>
        <w:t xml:space="preserve"> (accessed 20.05.2026).</w:t>
      </w:r>
    </w:p>
    <w:p w14:paraId="48776CEE" w14:textId="516C41EE" w:rsidR="00135B88" w:rsidRPr="00F52A8E" w:rsidRDefault="00F4635C" w:rsidP="00C04D43">
      <w:pPr>
        <w:spacing w:line="360" w:lineRule="auto"/>
        <w:ind w:left="705" w:hanging="705"/>
        <w:jc w:val="both"/>
        <w:rPr>
          <w:lang w:val="en-US"/>
        </w:rPr>
      </w:pPr>
      <w:r>
        <w:rPr>
          <w:lang w:val="en-US"/>
        </w:rPr>
        <w:t xml:space="preserve">44. Hague Convention for the Protection of Cultural Property in the Event of Armed Conflict. The Hague, 14 May 1954. URL: </w:t>
      </w:r>
      <w:hyperlink r:id="rId29" w:history="1">
        <w:r>
          <w:rPr>
            <w:rStyle w:val="a5"/>
            <w:lang w:val="en-US"/>
          </w:rPr>
          <w:t>https://www.unesco.org/en/legal-affairs/convention-protection-cultural-property-event-armed-conflict-regulations-execution-convention</w:t>
        </w:r>
      </w:hyperlink>
      <w:r>
        <w:rPr>
          <w:lang w:val="en-US"/>
        </w:rPr>
        <w:t xml:space="preserve"> (accessed 20.05.2026).</w:t>
      </w:r>
    </w:p>
    <w:p w14:paraId="289AB164" w14:textId="77777777" w:rsidR="00135B88" w:rsidRPr="00F52A8E" w:rsidRDefault="00F4635C" w:rsidP="00C04D43">
      <w:pPr>
        <w:spacing w:line="360" w:lineRule="auto"/>
        <w:ind w:left="705" w:hanging="705"/>
        <w:jc w:val="both"/>
        <w:rPr>
          <w:lang w:val="en-US"/>
        </w:rPr>
      </w:pPr>
      <w:r>
        <w:rPr>
          <w:lang w:val="en-US"/>
        </w:rPr>
        <w:t>45. Hammargren E. Tate Modern in the Digital Age: A Case Study Addressing the Use of Digital Technology, Audience Interaction and Participation at Tate Modern : Master's thesis. Stockholm : Stockholm University, 2017. 87 p.</w:t>
      </w:r>
    </w:p>
    <w:p w14:paraId="51941561" w14:textId="77777777" w:rsidR="00135B88" w:rsidRPr="00F52A8E" w:rsidRDefault="00F4635C" w:rsidP="00C04D43">
      <w:pPr>
        <w:spacing w:line="360" w:lineRule="auto"/>
        <w:ind w:left="705" w:hanging="705"/>
        <w:jc w:val="both"/>
        <w:rPr>
          <w:lang w:val="en-US"/>
        </w:rPr>
      </w:pPr>
      <w:r>
        <w:rPr>
          <w:lang w:val="en-US"/>
        </w:rPr>
        <w:t>46. Hooper-Greenhill E. Museums and the Interpretation of Visual Culture. London ; New York : Routledge, 2000. 224 p.</w:t>
      </w:r>
    </w:p>
    <w:p w14:paraId="39051217" w14:textId="2B2BA3F6" w:rsidR="00135B88" w:rsidRPr="00F52A8E" w:rsidRDefault="00F4635C" w:rsidP="00C04D43">
      <w:pPr>
        <w:spacing w:line="360" w:lineRule="auto"/>
        <w:ind w:left="705" w:hanging="705"/>
        <w:jc w:val="both"/>
        <w:rPr>
          <w:lang w:val="en-US"/>
        </w:rPr>
      </w:pPr>
      <w:r>
        <w:rPr>
          <w:lang w:val="en-US"/>
        </w:rPr>
        <w:t xml:space="preserve">47. Jing Culture and Commerce. Operation Night Watch: How Rijksmuseum Tapped AI to Restore a Rembrandt. jingdailyculture.com. 2023. URL: </w:t>
      </w:r>
      <w:hyperlink r:id="rId30" w:history="1">
        <w:r>
          <w:rPr>
            <w:rStyle w:val="a5"/>
            <w:lang w:val="en-US"/>
          </w:rPr>
          <w:t>https://jingdailyculture.com/rijksmuseum-rembrandt-night-watch-ai-restoration/</w:t>
        </w:r>
      </w:hyperlink>
      <w:r>
        <w:rPr>
          <w:lang w:val="en-US"/>
        </w:rPr>
        <w:t xml:space="preserve"> (accessed 14.05.2026).</w:t>
      </w:r>
    </w:p>
    <w:p w14:paraId="1293CCC2" w14:textId="77777777" w:rsidR="00135B88" w:rsidRPr="00F52A8E" w:rsidRDefault="00F4635C" w:rsidP="00C04D43">
      <w:pPr>
        <w:spacing w:line="360" w:lineRule="auto"/>
        <w:ind w:left="705" w:hanging="705"/>
        <w:jc w:val="both"/>
        <w:rPr>
          <w:lang w:val="en-US"/>
        </w:rPr>
      </w:pPr>
      <w:r>
        <w:rPr>
          <w:lang w:val="en-US"/>
        </w:rPr>
        <w:t>48. King E., Smith M. P., Wilson P. F., Stott J., Williams M. A. Creating Meaningful Museums: A Model for Museum Exhibition User Experience. Visitor Studies. 2023. Vol. 26, No. 1. P. 59–81. DOI: 10.1080/10645578.2022.2129944.</w:t>
      </w:r>
    </w:p>
    <w:p w14:paraId="4B22DE21" w14:textId="51BD1DB4" w:rsidR="00135B88" w:rsidRPr="00F52A8E" w:rsidRDefault="00F4635C" w:rsidP="00C04D43">
      <w:pPr>
        <w:spacing w:line="360" w:lineRule="auto"/>
        <w:ind w:left="705" w:hanging="705"/>
        <w:jc w:val="both"/>
        <w:rPr>
          <w:lang w:val="en-US"/>
        </w:rPr>
      </w:pPr>
      <w:r>
        <w:rPr>
          <w:lang w:val="en-US"/>
        </w:rPr>
        <w:t xml:space="preserve">49. Lawson-Tancred J. Landmark Restoration of Rembrandt's Famed 'The Night Watch' Commences. Artnet News. 2024. 12 Nov. URL: </w:t>
      </w:r>
      <w:hyperlink r:id="rId31" w:history="1">
        <w:r>
          <w:rPr>
            <w:rStyle w:val="a5"/>
            <w:lang w:val="en-US"/>
          </w:rPr>
          <w:t>https://news.artnet.com/art-world/rembrandt-the-night-watch-restoration-commences-2568095</w:t>
        </w:r>
      </w:hyperlink>
      <w:r>
        <w:rPr>
          <w:lang w:val="en-US"/>
        </w:rPr>
        <w:t xml:space="preserve"> (accessed 14.05.2026).</w:t>
      </w:r>
    </w:p>
    <w:p w14:paraId="13B085E9" w14:textId="77777777" w:rsidR="00135B88" w:rsidRPr="00F52A8E" w:rsidRDefault="00F4635C" w:rsidP="00C04D43">
      <w:pPr>
        <w:spacing w:line="360" w:lineRule="auto"/>
        <w:ind w:left="705" w:hanging="705"/>
        <w:jc w:val="both"/>
        <w:rPr>
          <w:lang w:val="en-US"/>
        </w:rPr>
      </w:pPr>
      <w:r>
        <w:rPr>
          <w:lang w:val="en-US"/>
        </w:rPr>
        <w:t>50. Li J., Zheng X., Watanabe I., Ochiai Y. A Systematic Review of Digital Transformation Technologies in Museum Exhibition. Computers in Human Behavior. 2024. Vol. 161. Article 108407. DOI: 10.1016/j.chb.2024.108407.</w:t>
      </w:r>
    </w:p>
    <w:p w14:paraId="760E0106" w14:textId="77777777" w:rsidR="00135B88" w:rsidRPr="00F52A8E" w:rsidRDefault="00F4635C" w:rsidP="00C04D43">
      <w:pPr>
        <w:spacing w:line="360" w:lineRule="auto"/>
        <w:ind w:left="705" w:hanging="705"/>
        <w:jc w:val="both"/>
        <w:rPr>
          <w:lang w:val="en-US"/>
        </w:rPr>
      </w:pPr>
      <w:r>
        <w:rPr>
          <w:lang w:val="en-US"/>
        </w:rPr>
        <w:lastRenderedPageBreak/>
        <w:t>51. Lin C.-L., Chen S.-J., Lin R. Efficacy of Virtual Reality in Painting Art Exhibitions Appreciation. Applied Sciences. 2020. Vol. 10, No. 9. Article 3012. DOI: 10.3390/app10093012.</w:t>
      </w:r>
    </w:p>
    <w:p w14:paraId="124A4B07" w14:textId="57C6724B" w:rsidR="00135B88" w:rsidRPr="00F52A8E" w:rsidRDefault="00F4635C" w:rsidP="00C04D43">
      <w:pPr>
        <w:spacing w:line="360" w:lineRule="auto"/>
        <w:ind w:left="705" w:hanging="705"/>
        <w:jc w:val="both"/>
        <w:rPr>
          <w:lang w:val="en-US"/>
        </w:rPr>
      </w:pPr>
      <w:r>
        <w:rPr>
          <w:lang w:val="en-US"/>
        </w:rPr>
        <w:t xml:space="preserve">52. Louvre Museum. Mona Lisa: Beyond the Glass – the Louvre's First Virtual Reality Experience. Louvre.fr. 2019. URL: </w:t>
      </w:r>
      <w:hyperlink r:id="rId32" w:history="1">
        <w:r>
          <w:rPr>
            <w:rStyle w:val="a5"/>
            <w:lang w:val="en-US"/>
          </w:rPr>
          <w:t>https://www.louvre.fr/en/explore/life-at-the-museum/mona-lisa-beyond-the-glass-the-louvre-s-first-virtual-reality-experience</w:t>
        </w:r>
      </w:hyperlink>
      <w:r>
        <w:rPr>
          <w:lang w:val="en-US"/>
        </w:rPr>
        <w:t xml:space="preserve"> (accessed 12.05.2026).</w:t>
      </w:r>
    </w:p>
    <w:p w14:paraId="472D0B28" w14:textId="77777777" w:rsidR="00135B88" w:rsidRPr="00194EBF" w:rsidRDefault="00F4635C" w:rsidP="00C04D43">
      <w:pPr>
        <w:spacing w:line="360" w:lineRule="auto"/>
        <w:ind w:left="705" w:hanging="705"/>
        <w:jc w:val="both"/>
      </w:pPr>
      <w:r>
        <w:rPr>
          <w:lang w:val="en-US"/>
        </w:rPr>
        <w:t>53. Museums, museum professionals and COVID-19. Paris</w:t>
      </w:r>
      <w:r w:rsidRPr="00194EBF">
        <w:t xml:space="preserve"> : </w:t>
      </w:r>
      <w:r>
        <w:rPr>
          <w:lang w:val="en-US"/>
        </w:rPr>
        <w:t>ICOM</w:t>
      </w:r>
      <w:r w:rsidRPr="00194EBF">
        <w:t xml:space="preserve">, 2020. 21 </w:t>
      </w:r>
      <w:r>
        <w:rPr>
          <w:lang w:val="en-US"/>
        </w:rPr>
        <w:t>p</w:t>
      </w:r>
      <w:r w:rsidRPr="00194EBF">
        <w:t>.</w:t>
      </w:r>
    </w:p>
    <w:p w14:paraId="2611DF8A" w14:textId="2F656935" w:rsidR="00135B88" w:rsidRPr="00194EBF" w:rsidRDefault="00F4635C" w:rsidP="00C04D43">
      <w:pPr>
        <w:spacing w:line="360" w:lineRule="auto"/>
        <w:ind w:left="705" w:hanging="705"/>
        <w:jc w:val="both"/>
      </w:pPr>
      <w:r w:rsidRPr="00194EBF">
        <w:t xml:space="preserve">54. </w:t>
      </w:r>
      <w:r>
        <w:rPr>
          <w:lang w:val="en-US"/>
        </w:rPr>
        <w:t>NAMU</w:t>
      </w:r>
      <w:r w:rsidRPr="00194EBF">
        <w:t xml:space="preserve"> після російського обстрілу відкрив віртуальний доступ до виставок. Інтерфакс-Україна. 2026. 28 трав. </w:t>
      </w:r>
      <w:r>
        <w:rPr>
          <w:lang w:val="en-US"/>
        </w:rPr>
        <w:t>URL</w:t>
      </w:r>
      <w:r w:rsidRPr="00194EBF">
        <w:t xml:space="preserve">: </w:t>
      </w:r>
      <w:hyperlink r:id="rId33" w:history="1">
        <w:r>
          <w:rPr>
            <w:rStyle w:val="a5"/>
            <w:lang w:val="en-US"/>
          </w:rPr>
          <w:t>https</w:t>
        </w:r>
        <w:r w:rsidRPr="00194EBF">
          <w:rPr>
            <w:rStyle w:val="a5"/>
          </w:rPr>
          <w:t>://</w:t>
        </w:r>
        <w:r>
          <w:rPr>
            <w:rStyle w:val="a5"/>
            <w:lang w:val="en-US"/>
          </w:rPr>
          <w:t>interfax</w:t>
        </w:r>
        <w:r w:rsidRPr="00194EBF">
          <w:rPr>
            <w:rStyle w:val="a5"/>
          </w:rPr>
          <w:t>.</w:t>
        </w:r>
        <w:r>
          <w:rPr>
            <w:rStyle w:val="a5"/>
            <w:lang w:val="en-US"/>
          </w:rPr>
          <w:t>com</w:t>
        </w:r>
        <w:r w:rsidRPr="00194EBF">
          <w:rPr>
            <w:rStyle w:val="a5"/>
          </w:rPr>
          <w:t>.</w:t>
        </w:r>
        <w:r>
          <w:rPr>
            <w:rStyle w:val="a5"/>
            <w:lang w:val="en-US"/>
          </w:rPr>
          <w:t>ua</w:t>
        </w:r>
        <w:r w:rsidRPr="00194EBF">
          <w:rPr>
            <w:rStyle w:val="a5"/>
          </w:rPr>
          <w:t>/</w:t>
        </w:r>
        <w:r>
          <w:rPr>
            <w:rStyle w:val="a5"/>
            <w:lang w:val="en-US"/>
          </w:rPr>
          <w:t>news</w:t>
        </w:r>
        <w:r w:rsidRPr="00194EBF">
          <w:rPr>
            <w:rStyle w:val="a5"/>
          </w:rPr>
          <w:t>/</w:t>
        </w:r>
        <w:r>
          <w:rPr>
            <w:rStyle w:val="a5"/>
            <w:lang w:val="en-US"/>
          </w:rPr>
          <w:t>culture</w:t>
        </w:r>
        <w:r w:rsidRPr="00194EBF">
          <w:rPr>
            <w:rStyle w:val="a5"/>
          </w:rPr>
          <w:t>/1171867.</w:t>
        </w:r>
        <w:r>
          <w:rPr>
            <w:rStyle w:val="a5"/>
            <w:lang w:val="en-US"/>
          </w:rPr>
          <w:t>html</w:t>
        </w:r>
      </w:hyperlink>
      <w:r w:rsidRPr="00194EBF">
        <w:t xml:space="preserve"> (дата звернення: 29.05.2026).</w:t>
      </w:r>
    </w:p>
    <w:p w14:paraId="16B97B17" w14:textId="77777777" w:rsidR="00135B88" w:rsidRPr="00F52A8E" w:rsidRDefault="00F4635C" w:rsidP="00C04D43">
      <w:pPr>
        <w:spacing w:line="360" w:lineRule="auto"/>
        <w:ind w:left="705" w:hanging="705"/>
        <w:jc w:val="both"/>
        <w:rPr>
          <w:lang w:val="en-US"/>
        </w:rPr>
      </w:pPr>
      <w:r>
        <w:rPr>
          <w:lang w:val="en-US"/>
        </w:rPr>
        <w:t>55. Nikolaou P. Museums and the Post-Digital: Revisiting Challenges in the Digital Transformation of Museums. Heritage. 2024. Vol. 7, No. 3. P. 1784–1800. DOI: 10.3390/heritage7030084.</w:t>
      </w:r>
    </w:p>
    <w:p w14:paraId="64B3DF8B" w14:textId="77777777" w:rsidR="00135B88" w:rsidRPr="00F52A8E" w:rsidRDefault="00F4635C" w:rsidP="00C04D43">
      <w:pPr>
        <w:spacing w:line="360" w:lineRule="auto"/>
        <w:ind w:left="705" w:hanging="705"/>
        <w:jc w:val="both"/>
        <w:rPr>
          <w:lang w:val="en-US"/>
        </w:rPr>
      </w:pPr>
      <w:r>
        <w:rPr>
          <w:lang w:val="en-US"/>
        </w:rPr>
        <w:t>56. O'Doherty B. Inside the White Cube: The Ideology of the Gallery Space. Santa Monica ; San Francisco : The Lapis Press, 1986. 92 p.</w:t>
      </w:r>
    </w:p>
    <w:p w14:paraId="6393CE8E" w14:textId="77777777" w:rsidR="00135B88" w:rsidRPr="00F52A8E" w:rsidRDefault="00F4635C" w:rsidP="00C04D43">
      <w:pPr>
        <w:spacing w:line="360" w:lineRule="auto"/>
        <w:ind w:left="705" w:hanging="705"/>
        <w:jc w:val="both"/>
        <w:rPr>
          <w:lang w:val="en-US"/>
        </w:rPr>
      </w:pPr>
      <w:r>
        <w:rPr>
          <w:lang w:val="en-US"/>
        </w:rPr>
        <w:t>57. Parry R. Recoding the Museum: Digital Heritage and the Technologies of Change. London ; New York : Routledge, 2007. 178 p.</w:t>
      </w:r>
    </w:p>
    <w:p w14:paraId="38680F7A" w14:textId="390886C3" w:rsidR="00135B88" w:rsidRPr="00F52A8E" w:rsidRDefault="00F4635C" w:rsidP="00C04D43">
      <w:pPr>
        <w:spacing w:line="360" w:lineRule="auto"/>
        <w:ind w:left="705" w:hanging="705"/>
        <w:jc w:val="both"/>
        <w:rPr>
          <w:lang w:val="en-US"/>
        </w:rPr>
      </w:pPr>
      <w:r>
        <w:rPr>
          <w:lang w:val="en-US"/>
        </w:rPr>
        <w:t xml:space="preserve">58. Rea N. The 'Mona Lisa' Experience: How the Louvre's First VR Project Works. Artnet News. 2019. 22 Oct. URL: </w:t>
      </w:r>
      <w:hyperlink r:id="rId34" w:history="1">
        <w:r>
          <w:rPr>
            <w:rStyle w:val="a5"/>
            <w:lang w:val="en-US"/>
          </w:rPr>
          <w:t>https://news.artnet.com/art-world/louvre-embraced-virtual-reality-leonardo-blockbuster-1686169</w:t>
        </w:r>
      </w:hyperlink>
      <w:r>
        <w:rPr>
          <w:lang w:val="en-US"/>
        </w:rPr>
        <w:t xml:space="preserve"> (accessed 12.05.2026).</w:t>
      </w:r>
    </w:p>
    <w:p w14:paraId="0B2698C2" w14:textId="679752AB" w:rsidR="00135B88" w:rsidRPr="00F52A8E" w:rsidRDefault="00F4635C" w:rsidP="00C04D43">
      <w:pPr>
        <w:spacing w:line="360" w:lineRule="auto"/>
        <w:ind w:left="705" w:hanging="705"/>
        <w:jc w:val="both"/>
        <w:rPr>
          <w:lang w:val="en-US"/>
        </w:rPr>
      </w:pPr>
      <w:r>
        <w:rPr>
          <w:lang w:val="en-US"/>
        </w:rPr>
        <w:t xml:space="preserve">59. Rijksmuseum. For the First Time in 300 Years The Night Watch is Complete Again. rijksmuseum.nl. 2021. URL: </w:t>
      </w:r>
      <w:hyperlink r:id="rId35" w:history="1">
        <w:r>
          <w:rPr>
            <w:rStyle w:val="a5"/>
            <w:lang w:val="en-US"/>
          </w:rPr>
          <w:t>https://www.rijksmuseum.nl/en/press/press-releases/for-the-first-time-in-300-years-the-night-watch-is-complete-again</w:t>
        </w:r>
      </w:hyperlink>
      <w:r>
        <w:rPr>
          <w:lang w:val="en-US"/>
        </w:rPr>
        <w:t xml:space="preserve"> (accessed 14.05.2026).</w:t>
      </w:r>
    </w:p>
    <w:p w14:paraId="62BF115B" w14:textId="77777777" w:rsidR="00135B88" w:rsidRPr="00F52A8E" w:rsidRDefault="00F4635C" w:rsidP="00C04D43">
      <w:pPr>
        <w:spacing w:line="360" w:lineRule="auto"/>
        <w:ind w:left="705" w:hanging="705"/>
        <w:jc w:val="both"/>
        <w:rPr>
          <w:lang w:val="en-US"/>
        </w:rPr>
      </w:pPr>
      <w:r>
        <w:rPr>
          <w:lang w:val="en-US"/>
        </w:rPr>
        <w:t>60. Rijksmuseum. Most Detailed Ever Photograph of The Night Watch Goes Online. rijksmuseum.nl. 2020. URL: https://www.rijksmuseum.nl/en/most-detailed-ever-photograph-of-the-night-watch-goes-online (accessed 14.05.2026).</w:t>
      </w:r>
    </w:p>
    <w:p w14:paraId="5709C9D1" w14:textId="18EB992B" w:rsidR="00135B88" w:rsidRPr="00F52A8E" w:rsidRDefault="00F4635C" w:rsidP="00C04D43">
      <w:pPr>
        <w:spacing w:line="360" w:lineRule="auto"/>
        <w:ind w:left="705" w:hanging="705"/>
        <w:jc w:val="both"/>
        <w:rPr>
          <w:lang w:val="en-US"/>
        </w:rPr>
      </w:pPr>
      <w:r>
        <w:rPr>
          <w:lang w:val="en-US"/>
        </w:rPr>
        <w:lastRenderedPageBreak/>
        <w:t xml:space="preserve">61. Rijksmuseum. Operation Night Watch to Start at the Rijksmuseum. rijksmuseum.nl. 2019. URL: </w:t>
      </w:r>
      <w:hyperlink r:id="rId36" w:history="1">
        <w:r>
          <w:rPr>
            <w:rStyle w:val="a5"/>
            <w:lang w:val="en-US"/>
          </w:rPr>
          <w:t>https://www.rijksmuseum.nl/en/press/press-releases/operation-night-watch-to-start-at-the-rijksmuseum</w:t>
        </w:r>
      </w:hyperlink>
      <w:r>
        <w:rPr>
          <w:lang w:val="en-US"/>
        </w:rPr>
        <w:t xml:space="preserve"> (accessed 14.05.2026).</w:t>
      </w:r>
    </w:p>
    <w:p w14:paraId="2D903723" w14:textId="7BD73EAA" w:rsidR="00135B88" w:rsidRPr="00F52A8E" w:rsidRDefault="00F4635C" w:rsidP="00C04D43">
      <w:pPr>
        <w:spacing w:line="360" w:lineRule="auto"/>
        <w:ind w:left="705" w:hanging="705"/>
        <w:jc w:val="both"/>
        <w:rPr>
          <w:lang w:val="en-US"/>
        </w:rPr>
      </w:pPr>
      <w:r>
        <w:rPr>
          <w:lang w:val="en-US"/>
        </w:rPr>
        <w:t xml:space="preserve">62. Rijksmuseum. Rijksmuseum Publishes 717 Gigapixel Photograph of The Night Watch. rijksmuseum.nl. 2022. URL: </w:t>
      </w:r>
      <w:hyperlink r:id="rId37" w:history="1">
        <w:r>
          <w:rPr>
            <w:rStyle w:val="a5"/>
            <w:lang w:val="en-US"/>
          </w:rPr>
          <w:t>https://www.rijksmuseum.nl/en/press/press-releases/rijksmuseum-publishes-717-gigapixel-photograph-of-the-night-watch</w:t>
        </w:r>
      </w:hyperlink>
      <w:r>
        <w:rPr>
          <w:lang w:val="en-US"/>
        </w:rPr>
        <w:t xml:space="preserve"> (accessed 14.05.2026).</w:t>
      </w:r>
    </w:p>
    <w:p w14:paraId="109FF5E3" w14:textId="1FDE42F3" w:rsidR="00135B88" w:rsidRPr="00F52A8E" w:rsidRDefault="00F4635C" w:rsidP="00C04D43">
      <w:pPr>
        <w:spacing w:line="360" w:lineRule="auto"/>
        <w:ind w:left="705" w:hanging="705"/>
        <w:jc w:val="both"/>
        <w:rPr>
          <w:lang w:val="en-US"/>
        </w:rPr>
      </w:pPr>
      <w:r>
        <w:rPr>
          <w:lang w:val="en-US"/>
        </w:rPr>
        <w:t xml:space="preserve">63. Rijksmuseum. Rijksstudio: Open Access to the Collection. rijksmuseum.nl. URL: </w:t>
      </w:r>
      <w:hyperlink r:id="rId38" w:history="1">
        <w:r>
          <w:rPr>
            <w:rStyle w:val="a5"/>
            <w:lang w:val="en-US"/>
          </w:rPr>
          <w:t>https://www.rijksmuseum.nl/en/rijksstudio</w:t>
        </w:r>
      </w:hyperlink>
      <w:r>
        <w:rPr>
          <w:lang w:val="en-US"/>
        </w:rPr>
        <w:t xml:space="preserve"> (accessed 14.05.2026).</w:t>
      </w:r>
    </w:p>
    <w:p w14:paraId="63A8B378" w14:textId="77777777" w:rsidR="00135B88" w:rsidRPr="00F52A8E" w:rsidRDefault="00F4635C" w:rsidP="00C04D43">
      <w:pPr>
        <w:spacing w:line="360" w:lineRule="auto"/>
        <w:ind w:left="705" w:hanging="705"/>
        <w:jc w:val="both"/>
        <w:rPr>
          <w:lang w:val="en-US"/>
        </w:rPr>
      </w:pPr>
      <w:r>
        <w:rPr>
          <w:lang w:val="en-US"/>
        </w:rPr>
        <w:t>64. Sitzia E. Museology and Its Others: Analyzing Exhibition Storytelling. Interdisciplinarity in the Scholarly Life Cycle / ed. by K. Bijsterveld, A. Swinnen. Cham : Palgrave Macmillan, 2023. P. 153–172. DOI: 10.1007/978-3-031-11108-2_8.</w:t>
      </w:r>
    </w:p>
    <w:p w14:paraId="59F9F0AA" w14:textId="77777777" w:rsidR="00135B88" w:rsidRPr="00F52A8E" w:rsidRDefault="00F4635C" w:rsidP="00C04D43">
      <w:pPr>
        <w:spacing w:line="360" w:lineRule="auto"/>
        <w:ind w:left="705" w:hanging="705"/>
        <w:jc w:val="both"/>
        <w:rPr>
          <w:lang w:val="en-US"/>
        </w:rPr>
      </w:pPr>
      <w:r>
        <w:rPr>
          <w:lang w:val="en-US"/>
        </w:rPr>
        <w:t>65. Sitzia E. The Many Faces of Knowledge Production in Art Museums: An Exploration of Exhibition Strategies. Muséologies: Les cahiers d'études supérieures. 2016. Vol. 8, No. 2. P. 141–157. DOI: 10.7202/1050765ar.</w:t>
      </w:r>
    </w:p>
    <w:p w14:paraId="64927D13" w14:textId="07122B79" w:rsidR="00135B88" w:rsidRPr="00F52A8E" w:rsidRDefault="00F4635C" w:rsidP="00C04D43">
      <w:pPr>
        <w:spacing w:line="360" w:lineRule="auto"/>
        <w:ind w:left="705" w:hanging="705"/>
        <w:jc w:val="both"/>
        <w:rPr>
          <w:lang w:val="en-US"/>
        </w:rPr>
      </w:pPr>
      <w:r>
        <w:rPr>
          <w:lang w:val="en-US"/>
        </w:rPr>
        <w:t xml:space="preserve">66. Skeiron LLC. #SaveUkrainianHeritage: 3D Scanning of Ukrainian Monuments. skeiron.com.ua. 2022. URL: </w:t>
      </w:r>
      <w:hyperlink r:id="rId39" w:history="1">
        <w:r>
          <w:rPr>
            <w:rStyle w:val="a5"/>
            <w:lang w:val="en-US"/>
          </w:rPr>
          <w:t>https://skeiron.com.ua</w:t>
        </w:r>
      </w:hyperlink>
      <w:r>
        <w:rPr>
          <w:lang w:val="en-US"/>
        </w:rPr>
        <w:t xml:space="preserve"> (accessed 20.05.2026).</w:t>
      </w:r>
    </w:p>
    <w:p w14:paraId="62D54181" w14:textId="7035A9D0" w:rsidR="00135B88" w:rsidRPr="00F52A8E" w:rsidRDefault="00F4635C" w:rsidP="00C04D43">
      <w:pPr>
        <w:spacing w:line="360" w:lineRule="auto"/>
        <w:ind w:left="705" w:hanging="705"/>
        <w:jc w:val="both"/>
        <w:rPr>
          <w:lang w:val="en-US"/>
        </w:rPr>
      </w:pPr>
      <w:r>
        <w:rPr>
          <w:lang w:val="en-US"/>
        </w:rPr>
        <w:t xml:space="preserve">67. Smithsonian Magazine. The Public Is Watching as Conservators Carefully Restore a Rembrandt Masterpiece. smithsonianmag.com. 2024. URL: </w:t>
      </w:r>
      <w:hyperlink r:id="rId40" w:history="1">
        <w:r>
          <w:rPr>
            <w:rStyle w:val="a5"/>
            <w:lang w:val="en-US"/>
          </w:rPr>
          <w:t>https://www.smithsonianmag.com/smart-news/the-public-is-watching-180985534/</w:t>
        </w:r>
      </w:hyperlink>
      <w:r>
        <w:rPr>
          <w:lang w:val="en-US"/>
        </w:rPr>
        <w:t xml:space="preserve">  (accessed 14.05.2026).</w:t>
      </w:r>
    </w:p>
    <w:p w14:paraId="2A3ED884" w14:textId="62125EF4" w:rsidR="00135B88" w:rsidRPr="00F52A8E" w:rsidRDefault="00F4635C" w:rsidP="00C04D43">
      <w:pPr>
        <w:spacing w:line="360" w:lineRule="auto"/>
        <w:ind w:left="705" w:hanging="705"/>
        <w:jc w:val="both"/>
        <w:rPr>
          <w:lang w:val="en-US"/>
        </w:rPr>
      </w:pPr>
      <w:r>
        <w:rPr>
          <w:lang w:val="en-US"/>
        </w:rPr>
        <w:t xml:space="preserve">68. Stack J. Tate Digital Strategy 2013–15: Digital as a Dimension of Everything. Tate Papers. 2013. No. 19. URL: </w:t>
      </w:r>
      <w:hyperlink r:id="rId41" w:history="1">
        <w:r>
          <w:rPr>
            <w:rStyle w:val="a5"/>
            <w:lang w:val="en-US"/>
          </w:rPr>
          <w:t>https://www.tate.org.uk/research/tate-papers/19/tate-digital-strategy-2013-15-digital-as-a-dimension-of-everything</w:t>
        </w:r>
      </w:hyperlink>
      <w:r>
        <w:rPr>
          <w:lang w:val="en-US"/>
        </w:rPr>
        <w:t xml:space="preserve">  (accessed 14.05.2026).</w:t>
      </w:r>
    </w:p>
    <w:p w14:paraId="480513F3" w14:textId="75C05C63" w:rsidR="00135B88" w:rsidRPr="00F52A8E" w:rsidRDefault="00F4635C" w:rsidP="00C04D43">
      <w:pPr>
        <w:spacing w:line="360" w:lineRule="auto"/>
        <w:ind w:left="705" w:hanging="705"/>
        <w:jc w:val="both"/>
        <w:rPr>
          <w:lang w:val="en-US"/>
        </w:rPr>
      </w:pPr>
      <w:r>
        <w:rPr>
          <w:lang w:val="en-US"/>
        </w:rPr>
        <w:t xml:space="preserve">69. teamLab. teamLab Planets TOKYO. teamlab.art. 2024. URL: </w:t>
      </w:r>
      <w:hyperlink r:id="rId42" w:history="1">
        <w:r>
          <w:rPr>
            <w:rStyle w:val="a5"/>
            <w:lang w:val="en-US"/>
          </w:rPr>
          <w:t>https://www.teamlab.art/e/planets/</w:t>
        </w:r>
      </w:hyperlink>
      <w:r>
        <w:rPr>
          <w:lang w:val="en-US"/>
        </w:rPr>
        <w:t xml:space="preserve">  (accessed 12.05.2026).</w:t>
      </w:r>
    </w:p>
    <w:p w14:paraId="05DB1C82" w14:textId="750C52A7" w:rsidR="00135B88" w:rsidRPr="00F52A8E" w:rsidRDefault="00F4635C" w:rsidP="00C04D43">
      <w:pPr>
        <w:spacing w:line="360" w:lineRule="auto"/>
        <w:ind w:left="705" w:hanging="705"/>
        <w:jc w:val="both"/>
        <w:rPr>
          <w:lang w:val="en-US"/>
        </w:rPr>
      </w:pPr>
      <w:r>
        <w:rPr>
          <w:lang w:val="en-US"/>
        </w:rPr>
        <w:lastRenderedPageBreak/>
        <w:t xml:space="preserve">70. The Art Newspaper. Ukrainian Heritage Fund Takes Shape as War Enters Fifth Year. 2026. 23 Feb. URL: </w:t>
      </w:r>
      <w:hyperlink r:id="rId43" w:history="1">
        <w:r>
          <w:rPr>
            <w:rStyle w:val="a5"/>
            <w:lang w:val="en-US"/>
          </w:rPr>
          <w:t>https://www.theartnewspaper.com/2026/02/23/ukrainian-heritage-fund-takes-shape-war-enters-fifth-year</w:t>
        </w:r>
      </w:hyperlink>
      <w:r>
        <w:rPr>
          <w:lang w:val="en-US"/>
        </w:rPr>
        <w:t xml:space="preserve"> (accessed 20.05.2026).</w:t>
      </w:r>
    </w:p>
    <w:p w14:paraId="41E168CA" w14:textId="639B51D2" w:rsidR="00135B88" w:rsidRPr="00C04D43" w:rsidRDefault="00F4635C" w:rsidP="00C04D43">
      <w:pPr>
        <w:spacing w:line="360" w:lineRule="auto"/>
        <w:ind w:left="705" w:hanging="705"/>
        <w:jc w:val="both"/>
        <w:rPr>
          <w:lang w:val="uk-UA"/>
        </w:rPr>
      </w:pPr>
      <w:r>
        <w:rPr>
          <w:lang w:val="uk-UA"/>
        </w:rPr>
        <w:t xml:space="preserve">71. </w:t>
      </w:r>
      <w:r>
        <w:rPr>
          <w:lang w:val="en-US"/>
        </w:rPr>
        <w:t>The</w:t>
      </w:r>
      <w:r w:rsidRPr="00194EBF">
        <w:t xml:space="preserve"> </w:t>
      </w:r>
      <w:r>
        <w:rPr>
          <w:lang w:val="en-US"/>
        </w:rPr>
        <w:t>Village</w:t>
      </w:r>
      <w:r>
        <w:rPr>
          <w:lang w:val="uk-UA"/>
        </w:rPr>
        <w:t xml:space="preserve"> Україна. Побачити Музей Ханенків у віртуальному 3D-турі. 2019. 1 лип. URL: </w:t>
      </w:r>
      <w:hyperlink r:id="rId44" w:history="1">
        <w:r>
          <w:rPr>
            <w:rStyle w:val="a5"/>
            <w:lang w:val="uk-UA"/>
          </w:rPr>
          <w:t>https://www.the-village.com.ua/village/culture/culture-news/286655</w:t>
        </w:r>
      </w:hyperlink>
      <w:r>
        <w:rPr>
          <w:lang w:val="uk-UA"/>
        </w:rPr>
        <w:t xml:space="preserve"> (дата звернення: 20.05.2026).</w:t>
      </w:r>
    </w:p>
    <w:p w14:paraId="7F7DE4BF" w14:textId="74E4F1E8" w:rsidR="00135B88" w:rsidRPr="00194EBF" w:rsidRDefault="00F4635C" w:rsidP="00C04D43">
      <w:pPr>
        <w:spacing w:line="360" w:lineRule="auto"/>
        <w:ind w:left="705" w:hanging="705"/>
        <w:jc w:val="both"/>
        <w:rPr>
          <w:lang w:val="uk-UA"/>
        </w:rPr>
      </w:pPr>
      <w:r w:rsidRPr="00194EBF">
        <w:rPr>
          <w:lang w:val="uk-UA"/>
        </w:rPr>
        <w:t xml:space="preserve">72. </w:t>
      </w:r>
      <w:r>
        <w:rPr>
          <w:lang w:val="en-US"/>
        </w:rPr>
        <w:t>Ukraine</w:t>
      </w:r>
      <w:r w:rsidRPr="00194EBF">
        <w:rPr>
          <w:lang w:val="uk-UA"/>
        </w:rPr>
        <w:t xml:space="preserve"> </w:t>
      </w:r>
      <w:r>
        <w:rPr>
          <w:lang w:val="en-US"/>
        </w:rPr>
        <w:t>is</w:t>
      </w:r>
      <w:r w:rsidRPr="00194EBF">
        <w:rPr>
          <w:lang w:val="uk-UA"/>
        </w:rPr>
        <w:t xml:space="preserve"> </w:t>
      </w:r>
      <w:r>
        <w:rPr>
          <w:lang w:val="en-US"/>
        </w:rPr>
        <w:t>Here</w:t>
      </w:r>
      <w:r w:rsidRPr="00194EBF">
        <w:rPr>
          <w:lang w:val="uk-UA"/>
        </w:rPr>
        <w:t xml:space="preserve">: </w:t>
      </w:r>
      <w:r>
        <w:rPr>
          <w:lang w:val="uk-UA"/>
        </w:rPr>
        <w:t xml:space="preserve">на платформі </w:t>
      </w:r>
      <w:r>
        <w:rPr>
          <w:lang w:val="en-US"/>
        </w:rPr>
        <w:t>Google</w:t>
      </w:r>
      <w:r w:rsidRPr="00194EBF">
        <w:rPr>
          <w:lang w:val="uk-UA"/>
        </w:rPr>
        <w:t xml:space="preserve"> </w:t>
      </w:r>
      <w:r>
        <w:rPr>
          <w:lang w:val="en-US"/>
        </w:rPr>
        <w:t>Arts</w:t>
      </w:r>
      <w:r w:rsidRPr="00194EBF">
        <w:rPr>
          <w:lang w:val="uk-UA"/>
        </w:rPr>
        <w:t xml:space="preserve"> &amp; </w:t>
      </w:r>
      <w:r>
        <w:rPr>
          <w:lang w:val="en-US"/>
        </w:rPr>
        <w:t>Culture</w:t>
      </w:r>
      <w:r>
        <w:rPr>
          <w:lang w:val="uk-UA"/>
        </w:rPr>
        <w:t xml:space="preserve"> презентовано український простір.</w:t>
      </w:r>
      <w:r w:rsidRPr="00194EBF">
        <w:rPr>
          <w:lang w:val="uk-UA"/>
        </w:rPr>
        <w:t xml:space="preserve"> </w:t>
      </w:r>
      <w:r>
        <w:rPr>
          <w:lang w:val="en-US"/>
        </w:rPr>
        <w:t>Forbes</w:t>
      </w:r>
      <w:r w:rsidRPr="00194EBF">
        <w:rPr>
          <w:lang w:val="uk-UA"/>
        </w:rPr>
        <w:t>.</w:t>
      </w:r>
      <w:r>
        <w:rPr>
          <w:lang w:val="en-US"/>
        </w:rPr>
        <w:t>ua</w:t>
      </w:r>
      <w:r w:rsidRPr="00194EBF">
        <w:rPr>
          <w:lang w:val="uk-UA"/>
        </w:rPr>
        <w:t xml:space="preserve">. 2022. 25 </w:t>
      </w:r>
      <w:r>
        <w:rPr>
          <w:lang w:val="uk-UA"/>
        </w:rPr>
        <w:t>листоп.</w:t>
      </w:r>
      <w:r w:rsidRPr="00194EBF">
        <w:rPr>
          <w:lang w:val="uk-UA"/>
        </w:rPr>
        <w:t xml:space="preserve"> </w:t>
      </w:r>
      <w:r>
        <w:rPr>
          <w:lang w:val="en-US"/>
        </w:rPr>
        <w:t>URL</w:t>
      </w:r>
      <w:r w:rsidRPr="00194EBF">
        <w:rPr>
          <w:lang w:val="uk-UA"/>
        </w:rPr>
        <w:t xml:space="preserve">: </w:t>
      </w:r>
      <w:hyperlink r:id="rId45" w:history="1">
        <w:r>
          <w:rPr>
            <w:rStyle w:val="a5"/>
            <w:lang w:val="en-US"/>
          </w:rPr>
          <w:t>https</w:t>
        </w:r>
        <w:r w:rsidRPr="00194EBF">
          <w:rPr>
            <w:rStyle w:val="a5"/>
            <w:lang w:val="uk-UA"/>
          </w:rPr>
          <w:t>://</w:t>
        </w:r>
        <w:r>
          <w:rPr>
            <w:rStyle w:val="a5"/>
            <w:lang w:val="en-US"/>
          </w:rPr>
          <w:t>forbes</w:t>
        </w:r>
        <w:r w:rsidRPr="00194EBF">
          <w:rPr>
            <w:rStyle w:val="a5"/>
            <w:lang w:val="uk-UA"/>
          </w:rPr>
          <w:t>.</w:t>
        </w:r>
        <w:r>
          <w:rPr>
            <w:rStyle w:val="a5"/>
            <w:lang w:val="en-US"/>
          </w:rPr>
          <w:t>ua</w:t>
        </w:r>
        <w:r w:rsidRPr="00194EBF">
          <w:rPr>
            <w:rStyle w:val="a5"/>
            <w:lang w:val="uk-UA"/>
          </w:rPr>
          <w:t>/</w:t>
        </w:r>
        <w:r>
          <w:rPr>
            <w:rStyle w:val="a5"/>
            <w:lang w:val="en-US"/>
          </w:rPr>
          <w:t>news</w:t>
        </w:r>
        <w:r w:rsidRPr="00194EBF">
          <w:rPr>
            <w:rStyle w:val="a5"/>
            <w:lang w:val="uk-UA"/>
          </w:rPr>
          <w:t>/</w:t>
        </w:r>
        <w:r>
          <w:rPr>
            <w:rStyle w:val="a5"/>
            <w:lang w:val="en-US"/>
          </w:rPr>
          <w:t>ukraine</w:t>
        </w:r>
        <w:r w:rsidRPr="00194EBF">
          <w:rPr>
            <w:rStyle w:val="a5"/>
            <w:lang w:val="uk-UA"/>
          </w:rPr>
          <w:t>-</w:t>
        </w:r>
        <w:r>
          <w:rPr>
            <w:rStyle w:val="a5"/>
            <w:lang w:val="en-US"/>
          </w:rPr>
          <w:t>is</w:t>
        </w:r>
        <w:r w:rsidRPr="00194EBF">
          <w:rPr>
            <w:rStyle w:val="a5"/>
            <w:lang w:val="uk-UA"/>
          </w:rPr>
          <w:t>-</w:t>
        </w:r>
        <w:r>
          <w:rPr>
            <w:rStyle w:val="a5"/>
            <w:lang w:val="en-US"/>
          </w:rPr>
          <w:t>here</w:t>
        </w:r>
        <w:r w:rsidRPr="00194EBF">
          <w:rPr>
            <w:rStyle w:val="a5"/>
            <w:lang w:val="uk-UA"/>
          </w:rPr>
          <w:t>-</w:t>
        </w:r>
        <w:r>
          <w:rPr>
            <w:rStyle w:val="a5"/>
            <w:lang w:val="en-US"/>
          </w:rPr>
          <w:t>na</w:t>
        </w:r>
        <w:r w:rsidRPr="00194EBF">
          <w:rPr>
            <w:rStyle w:val="a5"/>
            <w:lang w:val="uk-UA"/>
          </w:rPr>
          <w:t>-</w:t>
        </w:r>
        <w:r>
          <w:rPr>
            <w:rStyle w:val="a5"/>
            <w:lang w:val="en-US"/>
          </w:rPr>
          <w:t>platformi</w:t>
        </w:r>
        <w:r w:rsidRPr="00194EBF">
          <w:rPr>
            <w:rStyle w:val="a5"/>
            <w:lang w:val="uk-UA"/>
          </w:rPr>
          <w:t>-</w:t>
        </w:r>
        <w:r>
          <w:rPr>
            <w:rStyle w:val="a5"/>
            <w:lang w:val="en-US"/>
          </w:rPr>
          <w:t>google</w:t>
        </w:r>
        <w:r w:rsidRPr="00194EBF">
          <w:rPr>
            <w:rStyle w:val="a5"/>
            <w:lang w:val="uk-UA"/>
          </w:rPr>
          <w:t>-</w:t>
        </w:r>
        <w:r>
          <w:rPr>
            <w:rStyle w:val="a5"/>
            <w:lang w:val="en-US"/>
          </w:rPr>
          <w:t>arts</w:t>
        </w:r>
        <w:r w:rsidRPr="00194EBF">
          <w:rPr>
            <w:rStyle w:val="a5"/>
            <w:lang w:val="uk-UA"/>
          </w:rPr>
          <w:t>-</w:t>
        </w:r>
        <w:r>
          <w:rPr>
            <w:rStyle w:val="a5"/>
            <w:lang w:val="en-US"/>
          </w:rPr>
          <w:t>amp</w:t>
        </w:r>
        <w:r w:rsidRPr="00194EBF">
          <w:rPr>
            <w:rStyle w:val="a5"/>
            <w:lang w:val="uk-UA"/>
          </w:rPr>
          <w:t>-</w:t>
        </w:r>
        <w:r>
          <w:rPr>
            <w:rStyle w:val="a5"/>
            <w:lang w:val="en-US"/>
          </w:rPr>
          <w:t>culture</w:t>
        </w:r>
        <w:r w:rsidRPr="00194EBF">
          <w:rPr>
            <w:rStyle w:val="a5"/>
            <w:lang w:val="uk-UA"/>
          </w:rPr>
          <w:t>-</w:t>
        </w:r>
        <w:r>
          <w:rPr>
            <w:rStyle w:val="a5"/>
            <w:lang w:val="en-US"/>
          </w:rPr>
          <w:t>prezentovano</w:t>
        </w:r>
        <w:r w:rsidRPr="00194EBF">
          <w:rPr>
            <w:rStyle w:val="a5"/>
            <w:lang w:val="uk-UA"/>
          </w:rPr>
          <w:t>-</w:t>
        </w:r>
        <w:r>
          <w:rPr>
            <w:rStyle w:val="a5"/>
            <w:lang w:val="en-US"/>
          </w:rPr>
          <w:t>ukrainskiy</w:t>
        </w:r>
        <w:r w:rsidRPr="00194EBF">
          <w:rPr>
            <w:rStyle w:val="a5"/>
            <w:lang w:val="uk-UA"/>
          </w:rPr>
          <w:t>-</w:t>
        </w:r>
        <w:r>
          <w:rPr>
            <w:rStyle w:val="a5"/>
            <w:lang w:val="en-US"/>
          </w:rPr>
          <w:t>prostir</w:t>
        </w:r>
        <w:r w:rsidRPr="00194EBF">
          <w:rPr>
            <w:rStyle w:val="a5"/>
            <w:lang w:val="uk-UA"/>
          </w:rPr>
          <w:t>-</w:t>
        </w:r>
        <w:r>
          <w:rPr>
            <w:rStyle w:val="a5"/>
            <w:lang w:val="en-US"/>
          </w:rPr>
          <w:t>zi</w:t>
        </w:r>
        <w:r w:rsidRPr="00194EBF">
          <w:rPr>
            <w:rStyle w:val="a5"/>
            <w:lang w:val="uk-UA"/>
          </w:rPr>
          <w:t>-</w:t>
        </w:r>
        <w:r>
          <w:rPr>
            <w:rStyle w:val="a5"/>
            <w:lang w:val="en-US"/>
          </w:rPr>
          <w:t>zrazkami</w:t>
        </w:r>
        <w:r w:rsidRPr="00194EBF">
          <w:rPr>
            <w:rStyle w:val="a5"/>
            <w:lang w:val="uk-UA"/>
          </w:rPr>
          <w:t>-</w:t>
        </w:r>
        <w:r>
          <w:rPr>
            <w:rStyle w:val="a5"/>
            <w:lang w:val="en-US"/>
          </w:rPr>
          <w:t>ukrainskoi</w:t>
        </w:r>
        <w:r w:rsidRPr="00194EBF">
          <w:rPr>
            <w:rStyle w:val="a5"/>
            <w:lang w:val="uk-UA"/>
          </w:rPr>
          <w:t>-</w:t>
        </w:r>
        <w:r>
          <w:rPr>
            <w:rStyle w:val="a5"/>
            <w:lang w:val="en-US"/>
          </w:rPr>
          <w:t>arkhitekturi</w:t>
        </w:r>
        <w:r w:rsidRPr="00194EBF">
          <w:rPr>
            <w:rStyle w:val="a5"/>
            <w:lang w:val="uk-UA"/>
          </w:rPr>
          <w:t>-</w:t>
        </w:r>
        <w:r>
          <w:rPr>
            <w:rStyle w:val="a5"/>
            <w:lang w:val="en-US"/>
          </w:rPr>
          <w:t>prirodi</w:t>
        </w:r>
        <w:r w:rsidRPr="00194EBF">
          <w:rPr>
            <w:rStyle w:val="a5"/>
            <w:lang w:val="uk-UA"/>
          </w:rPr>
          <w:t>-</w:t>
        </w:r>
        <w:r>
          <w:rPr>
            <w:rStyle w:val="a5"/>
            <w:lang w:val="en-US"/>
          </w:rPr>
          <w:t>ta</w:t>
        </w:r>
        <w:r w:rsidRPr="00194EBF">
          <w:rPr>
            <w:rStyle w:val="a5"/>
            <w:lang w:val="uk-UA"/>
          </w:rPr>
          <w:t>-</w:t>
        </w:r>
        <w:r>
          <w:rPr>
            <w:rStyle w:val="a5"/>
            <w:lang w:val="en-US"/>
          </w:rPr>
          <w:t>mistetstva</w:t>
        </w:r>
        <w:r w:rsidRPr="00194EBF">
          <w:rPr>
            <w:rStyle w:val="a5"/>
            <w:lang w:val="uk-UA"/>
          </w:rPr>
          <w:t>-25112022-10029</w:t>
        </w:r>
      </w:hyperlink>
      <w:r w:rsidRPr="00194EBF">
        <w:rPr>
          <w:lang w:val="uk-UA"/>
        </w:rPr>
        <w:t xml:space="preserve"> (</w:t>
      </w:r>
      <w:r>
        <w:rPr>
          <w:lang w:val="uk-UA"/>
        </w:rPr>
        <w:t>дата звернення:</w:t>
      </w:r>
      <w:r w:rsidRPr="00194EBF">
        <w:rPr>
          <w:lang w:val="uk-UA"/>
        </w:rPr>
        <w:t xml:space="preserve"> 20.05.2026).</w:t>
      </w:r>
    </w:p>
    <w:p w14:paraId="1BBD6BA6" w14:textId="2E05E851" w:rsidR="00135B88" w:rsidRPr="00F52A8E" w:rsidRDefault="00F4635C" w:rsidP="00C04D43">
      <w:pPr>
        <w:spacing w:line="360" w:lineRule="auto"/>
        <w:ind w:left="705" w:hanging="705"/>
        <w:jc w:val="both"/>
        <w:rPr>
          <w:lang w:val="en-US"/>
        </w:rPr>
      </w:pPr>
      <w:r>
        <w:rPr>
          <w:lang w:val="en-US"/>
        </w:rPr>
        <w:t xml:space="preserve">73. UNESCO. Charter on the Preservation of the Digital Heritage. Adopted 15 October 2003. Paris : UNESCO, 2003. URL: </w:t>
      </w:r>
      <w:hyperlink r:id="rId46" w:history="1">
        <w:r>
          <w:rPr>
            <w:rStyle w:val="a5"/>
            <w:lang w:val="en-US"/>
          </w:rPr>
          <w:t>https://www.unesco.org/en/legal-affairs/charter-preservation-digital-heritage</w:t>
        </w:r>
      </w:hyperlink>
      <w:r>
        <w:rPr>
          <w:lang w:val="en-US"/>
        </w:rPr>
        <w:t xml:space="preserve"> (accessed 20.05.2026).</w:t>
      </w:r>
    </w:p>
    <w:p w14:paraId="4CD7874F" w14:textId="1425E69D" w:rsidR="00135B88" w:rsidRPr="00F52A8E" w:rsidRDefault="00F4635C" w:rsidP="00C04D43">
      <w:pPr>
        <w:spacing w:line="360" w:lineRule="auto"/>
        <w:ind w:left="705" w:hanging="705"/>
        <w:jc w:val="both"/>
        <w:rPr>
          <w:lang w:val="en-US"/>
        </w:rPr>
      </w:pPr>
      <w:r>
        <w:rPr>
          <w:lang w:val="en-US"/>
        </w:rPr>
        <w:t xml:space="preserve">74. UNESCO. Damaged Cultural Sites in Ukraine Verified by UNESCO. unesco.org. 7 January 2026. URL: </w:t>
      </w:r>
      <w:hyperlink r:id="rId47" w:history="1">
        <w:r>
          <w:rPr>
            <w:rStyle w:val="a5"/>
            <w:lang w:val="en-US"/>
          </w:rPr>
          <w:t>https://www.unesco.org/en/ukraine-war/damaged-cultural-sites</w:t>
        </w:r>
      </w:hyperlink>
      <w:r>
        <w:rPr>
          <w:lang w:val="en-US"/>
        </w:rPr>
        <w:t xml:space="preserve"> (accessed 20.05.2026).</w:t>
      </w:r>
    </w:p>
    <w:p w14:paraId="036ED0E6" w14:textId="7D7A71F1" w:rsidR="00135B88" w:rsidRPr="00C04D43" w:rsidRDefault="00F4635C" w:rsidP="00C04D43">
      <w:pPr>
        <w:pageBreakBefore/>
        <w:spacing w:line="360" w:lineRule="auto"/>
        <w:jc w:val="right"/>
        <w:rPr>
          <w:lang w:val="uk-UA"/>
        </w:rPr>
      </w:pPr>
      <w:bookmarkStart w:id="21" w:name="_Toc231668474"/>
      <w:r>
        <w:rPr>
          <w:b/>
          <w:bCs/>
          <w:lang w:val="uk-UA"/>
        </w:rPr>
        <w:lastRenderedPageBreak/>
        <w:t>Додаток</w:t>
      </w:r>
      <w:bookmarkEnd w:id="21"/>
      <w:r>
        <w:rPr>
          <w:b/>
          <w:bCs/>
          <w:lang w:val="uk-UA"/>
        </w:rPr>
        <w:t xml:space="preserve"> А</w:t>
      </w:r>
    </w:p>
    <w:p w14:paraId="4D50A9F2" w14:textId="300561CD" w:rsidR="00135B88" w:rsidRDefault="00F4635C" w:rsidP="00C04D43">
      <w:pPr>
        <w:spacing w:line="360" w:lineRule="auto"/>
        <w:jc w:val="center"/>
        <w:rPr>
          <w:b/>
          <w:bCs/>
          <w:lang w:val="uk-UA"/>
        </w:rPr>
      </w:pPr>
      <w:r>
        <w:rPr>
          <w:b/>
          <w:bCs/>
          <w:lang w:val="uk-UA"/>
        </w:rPr>
        <w:t>ІЛЮСТРАЦІЇ</w:t>
      </w:r>
    </w:p>
    <w:p w14:paraId="5985C69E" w14:textId="63C84208" w:rsidR="00C12221" w:rsidRPr="00C04D43" w:rsidRDefault="00C12221" w:rsidP="00C04D43">
      <w:pPr>
        <w:spacing w:line="360" w:lineRule="auto"/>
        <w:jc w:val="center"/>
        <w:rPr>
          <w:lang w:val="uk-UA"/>
        </w:rPr>
      </w:pPr>
      <w:r>
        <w:rPr>
          <w:b/>
          <w:bCs/>
          <w:lang w:val="uk-UA"/>
        </w:rPr>
        <w:t>Анотований список ілюстрацій</w:t>
      </w:r>
    </w:p>
    <w:p w14:paraId="06FACF98" w14:textId="77777777" w:rsidR="00237239" w:rsidRPr="00237239" w:rsidRDefault="00237239" w:rsidP="00C04D43">
      <w:pPr>
        <w:spacing w:line="360" w:lineRule="auto"/>
        <w:ind w:firstLine="705"/>
        <w:jc w:val="both"/>
        <w:rPr>
          <w:lang w:val="uk-UA"/>
        </w:rPr>
      </w:pPr>
      <w:r>
        <w:rPr>
          <w:lang w:val="uk-UA"/>
        </w:rPr>
        <w:t xml:space="preserve">Іл. 2.1. Проєкт «Mona Lisa: Beyond the Glass». Лувр, Париж, 2019. Офіційний кадр VR-досвіду: цифрова модель Лізи дель Джокондо (розробка Emissive / HTC VIVE Arts). Джерело: louvre.fr. URL: </w:t>
      </w:r>
      <w:hyperlink r:id="rId48" w:history="1">
        <w:r>
          <w:rPr>
            <w:rStyle w:val="a5"/>
            <w:lang w:val="uk-UA"/>
          </w:rPr>
          <w:t>https://www.louvre.fr/en/explore/life-at-the-museum/mona-lisa-beyond-the-glass-the-louvre-s-first-virtual-reality-experience</w:t>
        </w:r>
      </w:hyperlink>
    </w:p>
    <w:p w14:paraId="1CF61B74" w14:textId="77777777" w:rsidR="00237239" w:rsidRPr="00237239" w:rsidRDefault="00237239" w:rsidP="00C04D43">
      <w:pPr>
        <w:spacing w:line="360" w:lineRule="auto"/>
        <w:ind w:firstLine="705"/>
        <w:jc w:val="both"/>
        <w:rPr>
          <w:lang w:val="uk-UA"/>
        </w:rPr>
      </w:pPr>
      <w:r>
        <w:rPr>
          <w:lang w:val="uk-UA"/>
        </w:rPr>
        <w:t xml:space="preserve">Іл. 2.2. teamLab Planets TOKYO. Тойосу, Токіо, від 2018. Скриншот офіційного сайту: імерсивна інтерактивна інсталяція. Джерело: teamlab.art. URL: </w:t>
      </w:r>
      <w:hyperlink r:id="rId49" w:history="1">
        <w:r>
          <w:rPr>
            <w:rStyle w:val="a5"/>
            <w:lang w:val="uk-UA"/>
          </w:rPr>
          <w:t>https://www.teamlab.art/e/planets/</w:t>
        </w:r>
      </w:hyperlink>
    </w:p>
    <w:p w14:paraId="7CF88D28" w14:textId="77777777" w:rsidR="00237239" w:rsidRPr="00237239" w:rsidRDefault="00237239" w:rsidP="00C04D43">
      <w:pPr>
        <w:spacing w:line="360" w:lineRule="auto"/>
        <w:ind w:firstLine="705"/>
        <w:jc w:val="both"/>
        <w:rPr>
          <w:lang w:val="uk-UA"/>
        </w:rPr>
      </w:pPr>
      <w:r>
        <w:rPr>
          <w:lang w:val="uk-UA"/>
        </w:rPr>
        <w:t xml:space="preserve">Іл. 2.3. Operation Night Watch. Rijksmuseum, Амстердам, 2019–2024. Скриншот онлайн-переглядача гіперроздільної фотографії «Нічної варти» Рембрандта (717 гігапікселів). Джерело: rijksmuseum.nl. URL: </w:t>
      </w:r>
      <w:hyperlink r:id="rId50" w:history="1">
        <w:r>
          <w:rPr>
            <w:rStyle w:val="a5"/>
            <w:lang w:val="uk-UA"/>
          </w:rPr>
          <w:t>https://www.rijksmuseum.nl/en/stories/operation-night-watch/story/ultra-high-resolution-photo</w:t>
        </w:r>
      </w:hyperlink>
    </w:p>
    <w:p w14:paraId="10B74606" w14:textId="77777777" w:rsidR="00237239" w:rsidRPr="00237239" w:rsidRDefault="00237239" w:rsidP="00C04D43">
      <w:pPr>
        <w:spacing w:line="360" w:lineRule="auto"/>
        <w:ind w:firstLine="705"/>
        <w:jc w:val="both"/>
        <w:rPr>
          <w:lang w:val="uk-UA"/>
        </w:rPr>
      </w:pPr>
      <w:r>
        <w:rPr>
          <w:lang w:val="uk-UA"/>
        </w:rPr>
        <w:t xml:space="preserve">Іл. 2.4. Tate Collection Online. Tate, Лондон. Скриншот сторінки твору Анрі Матісса «Равлик» (1953) з блоком рекомендацій «You might like». Джерело: tate.org.uk. URL: </w:t>
      </w:r>
      <w:hyperlink r:id="rId51" w:history="1">
        <w:r>
          <w:rPr>
            <w:rStyle w:val="a5"/>
            <w:lang w:val="uk-UA"/>
          </w:rPr>
          <w:t>https://www.tate.org.uk/art/artworks/matisse-the-snail-t00540</w:t>
        </w:r>
      </w:hyperlink>
    </w:p>
    <w:p w14:paraId="318B6352" w14:textId="7CCFF6CF" w:rsidR="00237239" w:rsidRPr="00237239" w:rsidRDefault="00237239" w:rsidP="00C04D43">
      <w:pPr>
        <w:spacing w:line="360" w:lineRule="auto"/>
        <w:ind w:firstLine="705"/>
        <w:jc w:val="both"/>
        <w:rPr>
          <w:lang w:val="uk-UA"/>
        </w:rPr>
      </w:pPr>
      <w:r>
        <w:rPr>
          <w:lang w:val="uk-UA"/>
        </w:rPr>
        <w:t xml:space="preserve">Іл. 3.1. Віртуальний 3D-тур виставкою «Тим часом» у Музеї Ханенків. Київ, 2023. Скриншот інтерфейсу туру: кімната № 6. Джерело: khanenko.museum. URL: </w:t>
      </w:r>
      <w:hyperlink r:id="rId52" w:history="1">
        <w:r>
          <w:rPr>
            <w:rStyle w:val="a5"/>
            <w:lang w:val="uk-UA"/>
          </w:rPr>
          <w:t>https://tourmkr.com/F1Cz6dIwOZ/40423083p&amp;3.15h&amp;97.94t</w:t>
        </w:r>
      </w:hyperlink>
    </w:p>
    <w:p w14:paraId="2082FB85" w14:textId="77777777" w:rsidR="00237239" w:rsidRPr="00237239" w:rsidRDefault="00237239" w:rsidP="00C04D43">
      <w:pPr>
        <w:spacing w:line="360" w:lineRule="auto"/>
        <w:ind w:firstLine="705"/>
        <w:jc w:val="both"/>
        <w:rPr>
          <w:lang w:val="uk-UA"/>
        </w:rPr>
      </w:pPr>
      <w:r>
        <w:rPr>
          <w:lang w:val="uk-UA"/>
        </w:rPr>
        <w:t xml:space="preserve">Іл. 3.2. Платформа єМузей. Київ, 2024. Скриншот сторінки віртуального туру «Український портрет XVII–XX ст.» (цифрова реконструкція експозиції НХМУ). Джерело: emuseum.ua. URL: </w:t>
      </w:r>
      <w:hyperlink r:id="rId53" w:history="1">
        <w:r>
          <w:rPr>
            <w:rStyle w:val="a5"/>
            <w:lang w:val="uk-UA"/>
          </w:rPr>
          <w:t>https://emuseum.ua/catalog/namu-portraits</w:t>
        </w:r>
      </w:hyperlink>
    </w:p>
    <w:p w14:paraId="530834B3" w14:textId="28363773" w:rsidR="00237239" w:rsidRPr="00237239" w:rsidRDefault="00514F65" w:rsidP="00C04D43">
      <w:pPr>
        <w:spacing w:line="360" w:lineRule="auto"/>
        <w:ind w:firstLine="705"/>
        <w:jc w:val="both"/>
        <w:rPr>
          <w:lang w:val="uk-UA"/>
        </w:rPr>
      </w:pPr>
      <w:r>
        <w:rPr>
          <w:lang w:val="uk-UA"/>
        </w:rPr>
        <w:t>Іл. 3.3. Структура цифрового двійника предмета за методикою HeMo (Ukrainian Heritage Monitoring Lab). Авторська схема за матеріалами: [33, с. 53–57; 37].</w:t>
      </w:r>
    </w:p>
    <w:p w14:paraId="064137DF" w14:textId="77777777" w:rsidR="00237239" w:rsidRPr="00237239" w:rsidRDefault="00237239" w:rsidP="00237239">
      <w:pPr>
        <w:pageBreakBefore/>
        <w:spacing w:line="360" w:lineRule="auto"/>
        <w:ind w:firstLine="705"/>
        <w:jc w:val="both"/>
        <w:rPr>
          <w:lang w:val="uk-UA"/>
        </w:rPr>
      </w:pPr>
      <w:r>
        <w:rPr>
          <w:lang w:val="uk-UA"/>
        </w:rPr>
        <w:lastRenderedPageBreak/>
        <w:t xml:space="preserve">Іл. 3.4. Галерея SUCHO «Exploring Ukrainian Cultural Heritage Online». Скриншот головної сторінки онлайн-галереї заархівованих об'єктів української культурної спадщини. Джерело: gallery.sucho.org. URL: </w:t>
      </w:r>
      <w:hyperlink r:id="rId54" w:history="1">
        <w:r>
          <w:rPr>
            <w:rStyle w:val="a5"/>
            <w:lang w:val="uk-UA"/>
          </w:rPr>
          <w:t>https://gallery.sucho.org</w:t>
        </w:r>
      </w:hyperlink>
    </w:p>
    <w:p w14:paraId="6994140E" w14:textId="77777777" w:rsidR="00237239" w:rsidRPr="00AC7D1A" w:rsidRDefault="00237239">
      <w:pPr>
        <w:rPr>
          <w:lang w:val="en-US"/>
        </w:rPr>
      </w:pPr>
      <w:r>
        <w:rPr>
          <w:lang w:val="en-US"/>
        </w:rPr>
        <w:br w:type="page"/>
      </w:r>
    </w:p>
    <w:p w14:paraId="08D0715F" w14:textId="0F090F13" w:rsidR="00135B88" w:rsidRPr="00C04D43" w:rsidRDefault="00F4635C" w:rsidP="00C04D43">
      <w:pPr>
        <w:pageBreakBefore/>
        <w:spacing w:line="360" w:lineRule="auto"/>
        <w:jc w:val="center"/>
        <w:rPr>
          <w:lang w:val="uk-UA"/>
        </w:rPr>
      </w:pPr>
      <w:r>
        <w:rPr>
          <w:b/>
          <w:bCs/>
          <w:lang w:val="uk-UA"/>
        </w:rPr>
        <w:lastRenderedPageBreak/>
        <w:t>ІЛЮСТРАЦІЇ</w:t>
      </w:r>
    </w:p>
    <w:p w14:paraId="7538FB48" w14:textId="6C3AD3E7" w:rsidR="00237239" w:rsidRDefault="000A2496" w:rsidP="00237239">
      <w:pPr>
        <w:spacing w:line="360" w:lineRule="auto"/>
        <w:jc w:val="both"/>
        <w:rPr>
          <w:lang w:val="uk-UA"/>
        </w:rPr>
      </w:pPr>
      <w:r>
        <w:rPr>
          <w:noProof/>
        </w:rPr>
        <w:drawing>
          <wp:inline distT="0" distB="0" distL="0" distR="0" wp14:anchorId="4A715792" wp14:editId="5ACFAF43">
            <wp:extent cx="5939790" cy="309880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098800"/>
                    </a:xfrm>
                    <a:prstGeom prst="rect">
                      <a:avLst/>
                    </a:prstGeom>
                    <a:noFill/>
                    <a:ln>
                      <a:noFill/>
                    </a:ln>
                  </pic:spPr>
                </pic:pic>
              </a:graphicData>
            </a:graphic>
          </wp:inline>
        </w:drawing>
      </w:r>
    </w:p>
    <w:p w14:paraId="78E988E1" w14:textId="7F253D4B" w:rsidR="00237239" w:rsidRPr="00237239" w:rsidRDefault="00237239" w:rsidP="00237239">
      <w:pPr>
        <w:spacing w:line="360" w:lineRule="auto"/>
        <w:jc w:val="both"/>
        <w:rPr>
          <w:lang w:val="uk-UA"/>
        </w:rPr>
      </w:pPr>
      <w:r>
        <w:rPr>
          <w:lang w:val="uk-UA"/>
        </w:rPr>
        <w:t xml:space="preserve">Іл. 2.1. Проєкт «Mona Lisa: Beyond the Glass». Лувр, Париж, 2019. Офіційний кадр VR-досвіду: цифрова модель Лізи дель Джокондо (розробка Emissive / HTC VIVE Arts). Джерело: louvre.fr. URL: </w:t>
      </w:r>
      <w:hyperlink r:id="rId56" w:history="1">
        <w:r>
          <w:rPr>
            <w:rStyle w:val="a5"/>
            <w:lang w:val="uk-UA"/>
          </w:rPr>
          <w:t>https://www.louvre.fr/en/explore/life-at-the-museum/mona-lisa-beyond-the-glass-the-louvre-s-first-virtual-reality-experience</w:t>
        </w:r>
      </w:hyperlink>
      <w:r>
        <w:rPr>
          <w:lang w:val="uk-UA"/>
        </w:rPr>
        <w:t xml:space="preserve"> </w:t>
      </w:r>
    </w:p>
    <w:p w14:paraId="57ADB3DD" w14:textId="77777777" w:rsidR="00237239" w:rsidRDefault="00237239">
      <w:pPr>
        <w:rPr>
          <w:lang w:val="uk-UA"/>
        </w:rPr>
      </w:pPr>
      <w:r>
        <w:rPr>
          <w:lang w:val="uk-UA"/>
        </w:rPr>
        <w:br w:type="page"/>
      </w:r>
    </w:p>
    <w:p w14:paraId="602B061A" w14:textId="5884EA1D" w:rsidR="000A2496" w:rsidRDefault="0024023F" w:rsidP="00DC047D">
      <w:pPr>
        <w:spacing w:line="360" w:lineRule="auto"/>
        <w:jc w:val="center"/>
        <w:rPr>
          <w:lang w:val="uk-UA"/>
        </w:rPr>
      </w:pPr>
      <w:r>
        <w:rPr>
          <w:noProof/>
          <w:lang w:val="uk-UA"/>
        </w:rPr>
        <w:lastRenderedPageBreak/>
        <w:drawing>
          <wp:inline distT="0" distB="0" distL="0" distR="0" wp14:anchorId="7E164514" wp14:editId="0EA42850">
            <wp:extent cx="3262630" cy="8181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62630" cy="8181975"/>
                    </a:xfrm>
                    <a:prstGeom prst="rect">
                      <a:avLst/>
                    </a:prstGeom>
                  </pic:spPr>
                </pic:pic>
              </a:graphicData>
            </a:graphic>
          </wp:inline>
        </w:drawing>
      </w:r>
    </w:p>
    <w:p w14:paraId="6E11EC52" w14:textId="5533EABD" w:rsidR="00237239" w:rsidRDefault="00237239" w:rsidP="00DC047D">
      <w:pPr>
        <w:spacing w:line="360" w:lineRule="auto"/>
        <w:jc w:val="both"/>
        <w:rPr>
          <w:lang w:val="uk-UA"/>
        </w:rPr>
      </w:pPr>
      <w:r>
        <w:rPr>
          <w:lang w:val="uk-UA"/>
        </w:rPr>
        <w:t xml:space="preserve">Іл. 2.2. teamLab Planets TOKYO. Тойосу, Токіо, від 2018. Скриншот офіційного сайту: імерсивна інтерактивна інсталяція. Джерело: teamlab.art. URL: </w:t>
      </w:r>
      <w:hyperlink r:id="rId58" w:history="1">
        <w:r>
          <w:rPr>
            <w:rStyle w:val="a5"/>
            <w:lang w:val="uk-UA"/>
          </w:rPr>
          <w:t>https://www.teamlab.art/e/planets/</w:t>
        </w:r>
      </w:hyperlink>
      <w:r>
        <w:rPr>
          <w:lang w:val="uk-UA"/>
        </w:rPr>
        <w:t xml:space="preserve"> </w:t>
      </w:r>
    </w:p>
    <w:p w14:paraId="72D301B7" w14:textId="3E271430" w:rsidR="000A2496" w:rsidRDefault="0024023F" w:rsidP="00237239">
      <w:pPr>
        <w:spacing w:line="360" w:lineRule="auto"/>
        <w:jc w:val="both"/>
        <w:rPr>
          <w:lang w:val="uk-UA"/>
        </w:rPr>
      </w:pPr>
      <w:r>
        <w:rPr>
          <w:noProof/>
          <w:lang w:val="uk-UA"/>
        </w:rPr>
        <w:lastRenderedPageBreak/>
        <w:drawing>
          <wp:inline distT="0" distB="0" distL="0" distR="0" wp14:anchorId="7C3E3E57" wp14:editId="7B7D5723">
            <wp:extent cx="5939790" cy="6224270"/>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9790" cy="6224270"/>
                    </a:xfrm>
                    <a:prstGeom prst="rect">
                      <a:avLst/>
                    </a:prstGeom>
                  </pic:spPr>
                </pic:pic>
              </a:graphicData>
            </a:graphic>
          </wp:inline>
        </w:drawing>
      </w:r>
    </w:p>
    <w:p w14:paraId="3C8CE17C" w14:textId="74653D5A" w:rsidR="00237239" w:rsidRPr="00237239" w:rsidRDefault="00237239" w:rsidP="00237239">
      <w:pPr>
        <w:spacing w:line="360" w:lineRule="auto"/>
        <w:jc w:val="both"/>
        <w:rPr>
          <w:lang w:val="uk-UA"/>
        </w:rPr>
      </w:pPr>
      <w:r>
        <w:rPr>
          <w:lang w:val="uk-UA"/>
        </w:rPr>
        <w:t xml:space="preserve">Іл. 2.3. Operation Night Watch. Rijksmuseum, Амстердам, 2019–2024. Скриншот онлайн-переглядача гіперроздільної фотографії «Нічної варти» Рембрандта (717 гігапікселів). Джерело: rijksmuseum.nl. URL: </w:t>
      </w:r>
      <w:hyperlink r:id="rId60" w:history="1">
        <w:r>
          <w:rPr>
            <w:rStyle w:val="a5"/>
            <w:lang w:val="uk-UA"/>
          </w:rPr>
          <w:t>https://www.rijksmuseum.nl/en/stories/operation-night-watch/story/ultra-high-resolution-photo</w:t>
        </w:r>
      </w:hyperlink>
      <w:r>
        <w:rPr>
          <w:lang w:val="uk-UA"/>
        </w:rPr>
        <w:t xml:space="preserve"> </w:t>
      </w:r>
    </w:p>
    <w:p w14:paraId="6F67145E" w14:textId="77777777" w:rsidR="00237239" w:rsidRDefault="00237239">
      <w:pPr>
        <w:rPr>
          <w:lang w:val="uk-UA"/>
        </w:rPr>
      </w:pPr>
      <w:r>
        <w:rPr>
          <w:lang w:val="uk-UA"/>
        </w:rPr>
        <w:br w:type="page"/>
      </w:r>
    </w:p>
    <w:p w14:paraId="0D30238E" w14:textId="01775692" w:rsidR="0024023F" w:rsidRDefault="0024023F" w:rsidP="00237239">
      <w:pPr>
        <w:spacing w:line="360" w:lineRule="auto"/>
        <w:jc w:val="both"/>
        <w:rPr>
          <w:lang w:val="uk-UA"/>
        </w:rPr>
      </w:pPr>
      <w:r>
        <w:rPr>
          <w:noProof/>
          <w:lang w:val="uk-UA"/>
        </w:rPr>
        <w:lastRenderedPageBreak/>
        <w:drawing>
          <wp:inline distT="0" distB="0" distL="0" distR="0" wp14:anchorId="5A40BF42" wp14:editId="17106772">
            <wp:extent cx="5939790" cy="74949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9790" cy="7494905"/>
                    </a:xfrm>
                    <a:prstGeom prst="rect">
                      <a:avLst/>
                    </a:prstGeom>
                  </pic:spPr>
                </pic:pic>
              </a:graphicData>
            </a:graphic>
          </wp:inline>
        </w:drawing>
      </w:r>
    </w:p>
    <w:p w14:paraId="03B333C2" w14:textId="36549861" w:rsidR="00237239" w:rsidRPr="00237239" w:rsidRDefault="00237239" w:rsidP="00237239">
      <w:pPr>
        <w:spacing w:line="360" w:lineRule="auto"/>
        <w:jc w:val="both"/>
        <w:rPr>
          <w:lang w:val="uk-UA"/>
        </w:rPr>
      </w:pPr>
      <w:r>
        <w:rPr>
          <w:lang w:val="uk-UA"/>
        </w:rPr>
        <w:t xml:space="preserve">Іл. 2.4. Tate Collection Online. Tate, Лондон. Скриншот сторінки твору Анрі Матісса «Равлик» (1953) з блоком рекомендацій «You might like». Джерело: tate.org.uk. URL: </w:t>
      </w:r>
      <w:hyperlink r:id="rId62" w:history="1">
        <w:r>
          <w:rPr>
            <w:rStyle w:val="a5"/>
            <w:lang w:val="uk-UA"/>
          </w:rPr>
          <w:t>https://www.tate.org.uk/art/artworks/matisse-the-snail-t00540</w:t>
        </w:r>
      </w:hyperlink>
      <w:r>
        <w:rPr>
          <w:lang w:val="uk-UA"/>
        </w:rPr>
        <w:t xml:space="preserve"> </w:t>
      </w:r>
    </w:p>
    <w:p w14:paraId="7222577A" w14:textId="77777777" w:rsidR="00237239" w:rsidRDefault="00237239">
      <w:pPr>
        <w:rPr>
          <w:lang w:val="uk-UA"/>
        </w:rPr>
      </w:pPr>
      <w:r>
        <w:rPr>
          <w:lang w:val="uk-UA"/>
        </w:rPr>
        <w:br w:type="page"/>
      </w:r>
    </w:p>
    <w:p w14:paraId="726E5A0E" w14:textId="0D050D2D" w:rsidR="0024023F" w:rsidRDefault="00DC047D" w:rsidP="00237239">
      <w:pPr>
        <w:spacing w:line="360" w:lineRule="auto"/>
        <w:jc w:val="both"/>
        <w:rPr>
          <w:lang w:val="uk-UA"/>
        </w:rPr>
      </w:pPr>
      <w:r>
        <w:rPr>
          <w:noProof/>
          <w:lang w:val="uk-UA"/>
        </w:rPr>
        <w:lastRenderedPageBreak/>
        <w:drawing>
          <wp:inline distT="0" distB="0" distL="0" distR="0" wp14:anchorId="15D721C3" wp14:editId="1C5E880F">
            <wp:extent cx="6021248" cy="30762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29990" cy="3080749"/>
                    </a:xfrm>
                    <a:prstGeom prst="rect">
                      <a:avLst/>
                    </a:prstGeom>
                  </pic:spPr>
                </pic:pic>
              </a:graphicData>
            </a:graphic>
          </wp:inline>
        </w:drawing>
      </w:r>
    </w:p>
    <w:p w14:paraId="16EE63A7" w14:textId="6B5D395B" w:rsidR="00237239" w:rsidRPr="00237239" w:rsidRDefault="00237239" w:rsidP="00237239">
      <w:pPr>
        <w:spacing w:line="360" w:lineRule="auto"/>
        <w:jc w:val="both"/>
        <w:rPr>
          <w:lang w:val="uk-UA"/>
        </w:rPr>
      </w:pPr>
      <w:r>
        <w:rPr>
          <w:lang w:val="uk-UA"/>
        </w:rPr>
        <w:t xml:space="preserve">Іл. 3.1. Віртуальний 3D-тур виставкою «Тим часом» у Музеї Ханенків. Київ, 2023. Скриншот інтерфейсу туру: кімната № 6. Джерело: khanenko.museum. URL: </w:t>
      </w:r>
      <w:hyperlink r:id="rId64" w:history="1">
        <w:r>
          <w:rPr>
            <w:rStyle w:val="a5"/>
            <w:lang w:val="uk-UA"/>
          </w:rPr>
          <w:t>https://tourmkr.com/F1Cz6dIwOZ/40423083p&amp;3.15h&amp;97.94t</w:t>
        </w:r>
      </w:hyperlink>
    </w:p>
    <w:p w14:paraId="7A67FD1C" w14:textId="77777777" w:rsidR="00237239" w:rsidRDefault="00237239">
      <w:pPr>
        <w:rPr>
          <w:lang w:val="uk-UA"/>
        </w:rPr>
      </w:pPr>
      <w:r>
        <w:rPr>
          <w:lang w:val="uk-UA"/>
        </w:rPr>
        <w:br w:type="page"/>
      </w:r>
    </w:p>
    <w:p w14:paraId="5B0DC6C9" w14:textId="1B9E74E5" w:rsidR="0024023F" w:rsidRDefault="00A2506D" w:rsidP="00A2506D">
      <w:pPr>
        <w:spacing w:line="360" w:lineRule="auto"/>
        <w:jc w:val="center"/>
        <w:rPr>
          <w:lang w:val="uk-UA"/>
        </w:rPr>
      </w:pPr>
      <w:r>
        <w:rPr>
          <w:noProof/>
          <w:lang w:val="uk-UA"/>
        </w:rPr>
        <w:lastRenderedPageBreak/>
        <w:drawing>
          <wp:inline distT="0" distB="0" distL="0" distR="0" wp14:anchorId="28F732B6" wp14:editId="44AF4C38">
            <wp:extent cx="5071745" cy="83281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80061" cy="8341766"/>
                    </a:xfrm>
                    <a:prstGeom prst="rect">
                      <a:avLst/>
                    </a:prstGeom>
                  </pic:spPr>
                </pic:pic>
              </a:graphicData>
            </a:graphic>
          </wp:inline>
        </w:drawing>
      </w:r>
    </w:p>
    <w:p w14:paraId="6D27079F" w14:textId="2C9A5C50" w:rsidR="00237239" w:rsidRPr="00237239" w:rsidRDefault="00237239" w:rsidP="00237239">
      <w:pPr>
        <w:spacing w:line="360" w:lineRule="auto"/>
        <w:jc w:val="both"/>
        <w:rPr>
          <w:lang w:val="uk-UA"/>
        </w:rPr>
      </w:pPr>
      <w:r>
        <w:rPr>
          <w:lang w:val="uk-UA"/>
        </w:rPr>
        <w:t xml:space="preserve">Іл. 3.2. Платформа єМузей. Київ, 2024. Скриншот сторінки віртуального туру «Український портрет XVII–XX ст.». Джерело: emuseum.ua. URL: </w:t>
      </w:r>
      <w:hyperlink r:id="rId66" w:history="1">
        <w:r>
          <w:rPr>
            <w:rStyle w:val="a5"/>
            <w:lang w:val="uk-UA"/>
          </w:rPr>
          <w:t>https://emuseum.ua/catalog/namu-portraits</w:t>
        </w:r>
      </w:hyperlink>
      <w:r>
        <w:rPr>
          <w:lang w:val="uk-UA"/>
        </w:rPr>
        <w:t xml:space="preserve"> </w:t>
      </w:r>
    </w:p>
    <w:p w14:paraId="28777F9D" w14:textId="6F5B7D3D" w:rsidR="00A2506D" w:rsidRDefault="00A418E5" w:rsidP="00A418E5">
      <w:pPr>
        <w:jc w:val="center"/>
        <w:rPr>
          <w:lang w:val="uk-UA"/>
        </w:rPr>
      </w:pPr>
      <w:r>
        <w:rPr>
          <w:noProof/>
          <w:lang w:val="uk-UA"/>
        </w:rPr>
        <w:lastRenderedPageBreak/>
        <w:drawing>
          <wp:inline distT="0" distB="0" distL="0" distR="0" wp14:anchorId="23E089FE" wp14:editId="7ABDBA53">
            <wp:extent cx="3686175" cy="85644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95493" cy="8586082"/>
                    </a:xfrm>
                    <a:prstGeom prst="rect">
                      <a:avLst/>
                    </a:prstGeom>
                  </pic:spPr>
                </pic:pic>
              </a:graphicData>
            </a:graphic>
          </wp:inline>
        </w:drawing>
      </w:r>
    </w:p>
    <w:p w14:paraId="0D5C5454" w14:textId="7229C572" w:rsidR="00237239" w:rsidRPr="00237239" w:rsidRDefault="00237239" w:rsidP="00A2506D">
      <w:pPr>
        <w:rPr>
          <w:lang w:val="uk-UA"/>
        </w:rPr>
      </w:pPr>
      <w:r>
        <w:rPr>
          <w:lang w:val="uk-UA"/>
        </w:rPr>
        <w:t xml:space="preserve">Іл. 3.3. Структура цифрового двійника предмета за методикою HeMo (Ukrainian Heritage Monitoring Lab). </w:t>
      </w:r>
      <w:r>
        <w:t>Авторська схема за матеріалами: [33, с. 53–57; 37].</w:t>
      </w:r>
    </w:p>
    <w:p w14:paraId="6B50081A" w14:textId="40CBD939" w:rsidR="00A2506D" w:rsidRDefault="00A2506D" w:rsidP="00A2506D">
      <w:pPr>
        <w:spacing w:line="360" w:lineRule="auto"/>
        <w:jc w:val="center"/>
        <w:rPr>
          <w:lang w:val="uk-UA"/>
        </w:rPr>
      </w:pPr>
      <w:r>
        <w:rPr>
          <w:noProof/>
          <w:lang w:val="uk-UA"/>
        </w:rPr>
        <w:lastRenderedPageBreak/>
        <w:drawing>
          <wp:inline distT="0" distB="0" distL="0" distR="0" wp14:anchorId="67593BF1" wp14:editId="2A6F0389">
            <wp:extent cx="4816860" cy="789622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24268" cy="7908368"/>
                    </a:xfrm>
                    <a:prstGeom prst="rect">
                      <a:avLst/>
                    </a:prstGeom>
                  </pic:spPr>
                </pic:pic>
              </a:graphicData>
            </a:graphic>
          </wp:inline>
        </w:drawing>
      </w:r>
    </w:p>
    <w:p w14:paraId="3D3B3060" w14:textId="59F2403E" w:rsidR="00135B88" w:rsidRPr="00237239" w:rsidRDefault="00237239" w:rsidP="00237239">
      <w:pPr>
        <w:spacing w:line="360" w:lineRule="auto"/>
        <w:jc w:val="both"/>
        <w:rPr>
          <w:lang w:val="uk-UA"/>
        </w:rPr>
      </w:pPr>
      <w:r>
        <w:rPr>
          <w:lang w:val="uk-UA"/>
        </w:rPr>
        <w:t xml:space="preserve">Іл. 3.4. Галерея SUCHO «Exploring Ukrainian Cultural Heritage Online». Скриншот головної сторінки онлайн-галереї заархівованих об'єктів української культурної спадщини. Джерело: gallery.sucho.org. URL: </w:t>
      </w:r>
      <w:hyperlink r:id="rId69" w:history="1">
        <w:r>
          <w:rPr>
            <w:rStyle w:val="a5"/>
            <w:lang w:val="uk-UA"/>
          </w:rPr>
          <w:t>https://gallery.sucho.org</w:t>
        </w:r>
      </w:hyperlink>
      <w:r>
        <w:rPr>
          <w:lang w:val="uk-UA"/>
        </w:rPr>
        <w:t xml:space="preserve"> </w:t>
      </w:r>
    </w:p>
    <w:sectPr w:rsidR="00135B88" w:rsidRPr="00237239">
      <w:headerReference w:type="default" r:id="rId70"/>
      <w:pgSz w:w="11906" w:h="16838"/>
      <w:pgMar w:top="1134" w:right="851" w:bottom="1134"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DBFD3" w14:textId="77777777" w:rsidR="00267808" w:rsidRDefault="00267808">
      <w:r>
        <w:separator/>
      </w:r>
    </w:p>
  </w:endnote>
  <w:endnote w:type="continuationSeparator" w:id="0">
    <w:p w14:paraId="539883BD" w14:textId="77777777" w:rsidR="00267808" w:rsidRDefault="0026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6961" w14:textId="77777777" w:rsidR="00267808" w:rsidRDefault="00267808">
      <w:r>
        <w:separator/>
      </w:r>
    </w:p>
  </w:footnote>
  <w:footnote w:type="continuationSeparator" w:id="0">
    <w:p w14:paraId="06E238D4" w14:textId="77777777" w:rsidR="00267808" w:rsidRDefault="0026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6F83" w14:textId="77777777" w:rsidR="00135B88" w:rsidRDefault="00F4635C">
    <w:pPr>
      <w:jc w:val="right"/>
    </w:pPr>
    <w:r>
      <w:rPr>
        <w:sz w:val="24"/>
        <w:szCs w:val="24"/>
      </w:rPr>
      <w:fldChar w:fldCharType="begin"/>
    </w:r>
    <w:r>
      <w:rPr>
        <w:sz w:val="24"/>
        <w:szCs w:val="24"/>
      </w:rPr>
      <w:instrText>PAGE</w:instrText>
    </w:r>
    <w:r>
      <w:rPr>
        <w:sz w:val="24"/>
        <w:szCs w:val="24"/>
      </w:rPr>
      <w:fldChar w:fldCharType="separate"/>
    </w:r>
    <w:r w:rsidR="007B2C28">
      <w:rPr>
        <w:noProof/>
        <w:sz w:val="24"/>
        <w:szCs w:val="24"/>
      </w:rPr>
      <w:t>1</w:t>
    </w:r>
    <w:r>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21886"/>
    <w:multiLevelType w:val="hybridMultilevel"/>
    <w:tmpl w:val="21FC01D6"/>
    <w:lvl w:ilvl="0" w:tplc="A87E8BB0">
      <w:start w:val="1"/>
      <w:numFmt w:val="bullet"/>
      <w:lvlText w:val="●"/>
      <w:lvlJc w:val="left"/>
      <w:pPr>
        <w:ind w:left="720" w:hanging="360"/>
      </w:pPr>
    </w:lvl>
    <w:lvl w:ilvl="1" w:tplc="76AC2574">
      <w:start w:val="1"/>
      <w:numFmt w:val="bullet"/>
      <w:lvlText w:val="○"/>
      <w:lvlJc w:val="left"/>
      <w:pPr>
        <w:ind w:left="1440" w:hanging="360"/>
      </w:pPr>
    </w:lvl>
    <w:lvl w:ilvl="2" w:tplc="4F725A38">
      <w:start w:val="1"/>
      <w:numFmt w:val="bullet"/>
      <w:lvlText w:val="■"/>
      <w:lvlJc w:val="left"/>
      <w:pPr>
        <w:ind w:left="2160" w:hanging="360"/>
      </w:pPr>
    </w:lvl>
    <w:lvl w:ilvl="3" w:tplc="ACCC8472">
      <w:start w:val="1"/>
      <w:numFmt w:val="bullet"/>
      <w:lvlText w:val="●"/>
      <w:lvlJc w:val="left"/>
      <w:pPr>
        <w:ind w:left="2880" w:hanging="360"/>
      </w:pPr>
    </w:lvl>
    <w:lvl w:ilvl="4" w:tplc="7690FE06">
      <w:start w:val="1"/>
      <w:numFmt w:val="bullet"/>
      <w:lvlText w:val="○"/>
      <w:lvlJc w:val="left"/>
      <w:pPr>
        <w:ind w:left="3600" w:hanging="360"/>
      </w:pPr>
    </w:lvl>
    <w:lvl w:ilvl="5" w:tplc="C7D8525E">
      <w:start w:val="1"/>
      <w:numFmt w:val="bullet"/>
      <w:lvlText w:val="■"/>
      <w:lvlJc w:val="left"/>
      <w:pPr>
        <w:ind w:left="4320" w:hanging="360"/>
      </w:pPr>
    </w:lvl>
    <w:lvl w:ilvl="6" w:tplc="56D0D064">
      <w:start w:val="1"/>
      <w:numFmt w:val="bullet"/>
      <w:lvlText w:val="●"/>
      <w:lvlJc w:val="left"/>
      <w:pPr>
        <w:ind w:left="5040" w:hanging="360"/>
      </w:pPr>
    </w:lvl>
    <w:lvl w:ilvl="7" w:tplc="49F0DB14">
      <w:start w:val="1"/>
      <w:numFmt w:val="bullet"/>
      <w:lvlText w:val="●"/>
      <w:lvlJc w:val="left"/>
      <w:pPr>
        <w:ind w:left="5760" w:hanging="360"/>
      </w:pPr>
    </w:lvl>
    <w:lvl w:ilvl="8" w:tplc="0BD413B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88"/>
    <w:rsid w:val="000A2496"/>
    <w:rsid w:val="000A6113"/>
    <w:rsid w:val="00135B88"/>
    <w:rsid w:val="00194EBF"/>
    <w:rsid w:val="00204DEB"/>
    <w:rsid w:val="00230D35"/>
    <w:rsid w:val="00237239"/>
    <w:rsid w:val="0024023F"/>
    <w:rsid w:val="00266E91"/>
    <w:rsid w:val="00267808"/>
    <w:rsid w:val="002E335B"/>
    <w:rsid w:val="002E53F7"/>
    <w:rsid w:val="002F755F"/>
    <w:rsid w:val="003A6F96"/>
    <w:rsid w:val="00416DAE"/>
    <w:rsid w:val="0045340A"/>
    <w:rsid w:val="00484907"/>
    <w:rsid w:val="004E0CD5"/>
    <w:rsid w:val="00514F65"/>
    <w:rsid w:val="005223CD"/>
    <w:rsid w:val="0054689F"/>
    <w:rsid w:val="005912ED"/>
    <w:rsid w:val="00596578"/>
    <w:rsid w:val="00682BCD"/>
    <w:rsid w:val="0070563D"/>
    <w:rsid w:val="00727D93"/>
    <w:rsid w:val="00734848"/>
    <w:rsid w:val="007B2C28"/>
    <w:rsid w:val="007F559C"/>
    <w:rsid w:val="00870BED"/>
    <w:rsid w:val="0089170B"/>
    <w:rsid w:val="009A42AD"/>
    <w:rsid w:val="009E7FF1"/>
    <w:rsid w:val="00A2506D"/>
    <w:rsid w:val="00A418E5"/>
    <w:rsid w:val="00AC7D1A"/>
    <w:rsid w:val="00BA0B99"/>
    <w:rsid w:val="00C04D43"/>
    <w:rsid w:val="00C12221"/>
    <w:rsid w:val="00C54DED"/>
    <w:rsid w:val="00CE2DB8"/>
    <w:rsid w:val="00DC047D"/>
    <w:rsid w:val="00E97607"/>
    <w:rsid w:val="00F4635C"/>
    <w:rsid w:val="00F515D7"/>
    <w:rsid w:val="00F52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5FBB1"/>
  <w15:docId w15:val="{D41A87CD-D8AF-4FB5-8AB5-64598221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qFormat/>
    <w:pPr>
      <w:spacing w:after="240" w:line="360" w:lineRule="auto"/>
      <w:jc w:val="center"/>
      <w:outlineLvl w:val="0"/>
    </w:pPr>
    <w:rPr>
      <w:b/>
      <w:bCs/>
    </w:rPr>
  </w:style>
  <w:style w:type="paragraph" w:styleId="2">
    <w:name w:val="heading 2"/>
    <w:uiPriority w:val="9"/>
    <w:unhideWhenUsed/>
    <w:qFormat/>
    <w:pPr>
      <w:spacing w:before="200" w:after="120" w:line="360" w:lineRule="auto"/>
      <w:outlineLvl w:val="1"/>
    </w:pPr>
    <w:rPr>
      <w:b/>
      <w:bCs/>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Строги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Текст сноски Знак"/>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Текст концевой сноски Знак"/>
    <w:link w:val="aa"/>
    <w:uiPriority w:val="99"/>
    <w:semiHidden/>
    <w:unhideWhenUsed/>
    <w:rPr>
      <w:sz w:val="20"/>
      <w:szCs w:val="20"/>
    </w:rPr>
  </w:style>
  <w:style w:type="paragraph" w:styleId="11">
    <w:name w:val="toc 1"/>
    <w:basedOn w:val="a"/>
    <w:next w:val="a"/>
    <w:autoRedefine/>
    <w:uiPriority w:val="39"/>
    <w:unhideWhenUsed/>
    <w:rsid w:val="007B2C28"/>
    <w:pPr>
      <w:spacing w:after="100"/>
    </w:pPr>
  </w:style>
  <w:style w:type="paragraph" w:styleId="20">
    <w:name w:val="toc 2"/>
    <w:basedOn w:val="a"/>
    <w:next w:val="a"/>
    <w:autoRedefine/>
    <w:uiPriority w:val="39"/>
    <w:unhideWhenUsed/>
    <w:rsid w:val="007B2C28"/>
    <w:pPr>
      <w:spacing w:after="100"/>
      <w:ind w:left="280"/>
    </w:pPr>
  </w:style>
  <w:style w:type="character" w:styleId="ac">
    <w:name w:val="Unresolved Mention"/>
    <w:basedOn w:val="a0"/>
    <w:uiPriority w:val="99"/>
    <w:semiHidden/>
    <w:unhideWhenUsed/>
    <w:rsid w:val="00727D93"/>
    <w:rPr>
      <w:color w:val="605E5C"/>
      <w:shd w:val="clear" w:color="auto" w:fill="E1DFDD"/>
    </w:rPr>
  </w:style>
  <w:style w:type="character" w:styleId="ad">
    <w:name w:val="Emphasis"/>
    <w:basedOn w:val="a0"/>
    <w:uiPriority w:val="20"/>
    <w:qFormat/>
    <w:rsid w:val="008917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3288">
      <w:bodyDiv w:val="1"/>
      <w:marLeft w:val="0"/>
      <w:marRight w:val="0"/>
      <w:marTop w:val="0"/>
      <w:marBottom w:val="0"/>
      <w:divBdr>
        <w:top w:val="none" w:sz="0" w:space="0" w:color="auto"/>
        <w:left w:val="none" w:sz="0" w:space="0" w:color="auto"/>
        <w:bottom w:val="none" w:sz="0" w:space="0" w:color="auto"/>
        <w:right w:val="none" w:sz="0" w:space="0" w:color="auto"/>
      </w:divBdr>
      <w:divsChild>
        <w:div w:id="2012490135">
          <w:marLeft w:val="0"/>
          <w:marRight w:val="0"/>
          <w:marTop w:val="0"/>
          <w:marBottom w:val="0"/>
          <w:divBdr>
            <w:top w:val="none" w:sz="0" w:space="0" w:color="auto"/>
            <w:left w:val="none" w:sz="0" w:space="0" w:color="auto"/>
            <w:bottom w:val="none" w:sz="0" w:space="0" w:color="auto"/>
            <w:right w:val="none" w:sz="0" w:space="0" w:color="auto"/>
          </w:divBdr>
          <w:divsChild>
            <w:div w:id="1743672729">
              <w:marLeft w:val="0"/>
              <w:marRight w:val="0"/>
              <w:marTop w:val="0"/>
              <w:marBottom w:val="0"/>
              <w:divBdr>
                <w:top w:val="none" w:sz="0" w:space="0" w:color="auto"/>
                <w:left w:val="none" w:sz="0" w:space="0" w:color="auto"/>
                <w:bottom w:val="none" w:sz="0" w:space="0" w:color="auto"/>
                <w:right w:val="none" w:sz="0" w:space="0" w:color="auto"/>
              </w:divBdr>
            </w:div>
          </w:divsChild>
        </w:div>
        <w:div w:id="294412271">
          <w:marLeft w:val="0"/>
          <w:marRight w:val="0"/>
          <w:marTop w:val="0"/>
          <w:marBottom w:val="0"/>
          <w:divBdr>
            <w:top w:val="none" w:sz="0" w:space="0" w:color="auto"/>
            <w:left w:val="none" w:sz="0" w:space="0" w:color="auto"/>
            <w:bottom w:val="none" w:sz="0" w:space="0" w:color="auto"/>
            <w:right w:val="none" w:sz="0" w:space="0" w:color="auto"/>
          </w:divBdr>
          <w:divsChild>
            <w:div w:id="9409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0257">
      <w:bodyDiv w:val="1"/>
      <w:marLeft w:val="0"/>
      <w:marRight w:val="0"/>
      <w:marTop w:val="0"/>
      <w:marBottom w:val="0"/>
      <w:divBdr>
        <w:top w:val="none" w:sz="0" w:space="0" w:color="auto"/>
        <w:left w:val="none" w:sz="0" w:space="0" w:color="auto"/>
        <w:bottom w:val="none" w:sz="0" w:space="0" w:color="auto"/>
        <w:right w:val="none" w:sz="0" w:space="0" w:color="auto"/>
      </w:divBdr>
    </w:div>
    <w:div w:id="442768038">
      <w:bodyDiv w:val="1"/>
      <w:marLeft w:val="0"/>
      <w:marRight w:val="0"/>
      <w:marTop w:val="0"/>
      <w:marBottom w:val="0"/>
      <w:divBdr>
        <w:top w:val="none" w:sz="0" w:space="0" w:color="auto"/>
        <w:left w:val="none" w:sz="0" w:space="0" w:color="auto"/>
        <w:bottom w:val="none" w:sz="0" w:space="0" w:color="auto"/>
        <w:right w:val="none" w:sz="0" w:space="0" w:color="auto"/>
      </w:divBdr>
    </w:div>
    <w:div w:id="758454253">
      <w:bodyDiv w:val="1"/>
      <w:marLeft w:val="0"/>
      <w:marRight w:val="0"/>
      <w:marTop w:val="0"/>
      <w:marBottom w:val="0"/>
      <w:divBdr>
        <w:top w:val="none" w:sz="0" w:space="0" w:color="auto"/>
        <w:left w:val="none" w:sz="0" w:space="0" w:color="auto"/>
        <w:bottom w:val="none" w:sz="0" w:space="0" w:color="auto"/>
        <w:right w:val="none" w:sz="0" w:space="0" w:color="auto"/>
      </w:divBdr>
      <w:divsChild>
        <w:div w:id="848831571">
          <w:marLeft w:val="0"/>
          <w:marRight w:val="0"/>
          <w:marTop w:val="0"/>
          <w:marBottom w:val="0"/>
          <w:divBdr>
            <w:top w:val="none" w:sz="0" w:space="0" w:color="auto"/>
            <w:left w:val="none" w:sz="0" w:space="0" w:color="auto"/>
            <w:bottom w:val="none" w:sz="0" w:space="0" w:color="auto"/>
            <w:right w:val="none" w:sz="0" w:space="0" w:color="auto"/>
          </w:divBdr>
          <w:divsChild>
            <w:div w:id="133065366">
              <w:marLeft w:val="0"/>
              <w:marRight w:val="0"/>
              <w:marTop w:val="0"/>
              <w:marBottom w:val="0"/>
              <w:divBdr>
                <w:top w:val="none" w:sz="0" w:space="0" w:color="auto"/>
                <w:left w:val="none" w:sz="0" w:space="0" w:color="auto"/>
                <w:bottom w:val="none" w:sz="0" w:space="0" w:color="auto"/>
                <w:right w:val="none" w:sz="0" w:space="0" w:color="auto"/>
              </w:divBdr>
            </w:div>
          </w:divsChild>
        </w:div>
        <w:div w:id="578171071">
          <w:marLeft w:val="0"/>
          <w:marRight w:val="0"/>
          <w:marTop w:val="0"/>
          <w:marBottom w:val="0"/>
          <w:divBdr>
            <w:top w:val="none" w:sz="0" w:space="0" w:color="auto"/>
            <w:left w:val="none" w:sz="0" w:space="0" w:color="auto"/>
            <w:bottom w:val="none" w:sz="0" w:space="0" w:color="auto"/>
            <w:right w:val="none" w:sz="0" w:space="0" w:color="auto"/>
          </w:divBdr>
          <w:divsChild>
            <w:div w:id="9768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3317">
      <w:bodyDiv w:val="1"/>
      <w:marLeft w:val="0"/>
      <w:marRight w:val="0"/>
      <w:marTop w:val="0"/>
      <w:marBottom w:val="0"/>
      <w:divBdr>
        <w:top w:val="none" w:sz="0" w:space="0" w:color="auto"/>
        <w:left w:val="none" w:sz="0" w:space="0" w:color="auto"/>
        <w:bottom w:val="none" w:sz="0" w:space="0" w:color="auto"/>
        <w:right w:val="none" w:sz="0" w:space="0" w:color="auto"/>
      </w:divBdr>
    </w:div>
    <w:div w:id="961300095">
      <w:bodyDiv w:val="1"/>
      <w:marLeft w:val="0"/>
      <w:marRight w:val="0"/>
      <w:marTop w:val="0"/>
      <w:marBottom w:val="0"/>
      <w:divBdr>
        <w:top w:val="none" w:sz="0" w:space="0" w:color="auto"/>
        <w:left w:val="none" w:sz="0" w:space="0" w:color="auto"/>
        <w:bottom w:val="none" w:sz="0" w:space="0" w:color="auto"/>
        <w:right w:val="none" w:sz="0" w:space="0" w:color="auto"/>
      </w:divBdr>
    </w:div>
    <w:div w:id="1198659688">
      <w:bodyDiv w:val="1"/>
      <w:marLeft w:val="0"/>
      <w:marRight w:val="0"/>
      <w:marTop w:val="0"/>
      <w:marBottom w:val="0"/>
      <w:divBdr>
        <w:top w:val="none" w:sz="0" w:space="0" w:color="auto"/>
        <w:left w:val="none" w:sz="0" w:space="0" w:color="auto"/>
        <w:bottom w:val="none" w:sz="0" w:space="0" w:color="auto"/>
        <w:right w:val="none" w:sz="0" w:space="0" w:color="auto"/>
      </w:divBdr>
    </w:div>
    <w:div w:id="189742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viewsindh.pubpub.org/pub/saving-ukranian-cultural-heritage-online/release/1" TargetMode="External"/><Relationship Id="rId21" Type="http://schemas.openxmlformats.org/officeDocument/2006/relationships/hyperlink" Target="https://life.pravda.com.ua/culture/u-zsu-stvorili-specialniy-pidrozdil-305513/" TargetMode="External"/><Relationship Id="rId42" Type="http://schemas.openxmlformats.org/officeDocument/2006/relationships/hyperlink" Target="https://www.teamlab.art/e/planets/" TargetMode="External"/><Relationship Id="rId47" Type="http://schemas.openxmlformats.org/officeDocument/2006/relationships/hyperlink" Target="https://www.unesco.org/en/ukraine-war/damaged-cultural-sites" TargetMode="External"/><Relationship Id="rId63" Type="http://schemas.openxmlformats.org/officeDocument/2006/relationships/image" Target="media/image5.jpeg"/><Relationship Id="rId68" Type="http://schemas.openxmlformats.org/officeDocument/2006/relationships/image" Target="media/image8.png"/><Relationship Id="rId7" Type="http://schemas.openxmlformats.org/officeDocument/2006/relationships/hyperlink" Target="https://my.matterport.com/show/?m=GR38x621JeA"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spilne.media/culture/1315240-nacionalnij-hudoznij-muzej-pokazav-naslidki-pisla-rosijskoi-ataki-na-kiiv-foto/" TargetMode="External"/><Relationship Id="rId29" Type="http://schemas.openxmlformats.org/officeDocument/2006/relationships/hyperlink" Target="https://www.unesco.org/en/legal-affairs/convention-protection-cultural-property-event-armed-conflict-regulations-execution-convention" TargetMode="External"/><Relationship Id="rId11" Type="http://schemas.openxmlformats.org/officeDocument/2006/relationships/hyperlink" Target="https://zakon.rada.gov.ua/laws/show/249/95-&#1074;&#1088;" TargetMode="External"/><Relationship Id="rId24" Type="http://schemas.openxmlformats.org/officeDocument/2006/relationships/hyperlink" Target="https://cidoc-crm.org" TargetMode="External"/><Relationship Id="rId32" Type="http://schemas.openxmlformats.org/officeDocument/2006/relationships/hyperlink" Target="https://www.louvre.fr/en/explore/life-at-the-museum/mona-lisa-beyond-the-glass-the-louvre-s-first-virtual-reality-experience" TargetMode="External"/><Relationship Id="rId37" Type="http://schemas.openxmlformats.org/officeDocument/2006/relationships/hyperlink" Target="https://www.rijksmuseum.nl/en/press/press-releases/rijksmuseum-publishes-717-gigapixel-photograph-of-the-night-watch" TargetMode="External"/><Relationship Id="rId40" Type="http://schemas.openxmlformats.org/officeDocument/2006/relationships/hyperlink" Target="https://www.smithsonianmag.com/smart-news/the-public-is-watching-180985534/" TargetMode="External"/><Relationship Id="rId45" Type="http://schemas.openxmlformats.org/officeDocument/2006/relationships/hyperlink" Target="https://forbes.ua/news/ukraine-is-here-na-platformi-google-arts-amp-culture-prezentovano-ukrainskiy-prostir-zi-zrazkami-ukrainskoi-arkhitekturi-prirodi-ta-mistetstva-25112022-10029" TargetMode="External"/><Relationship Id="rId53" Type="http://schemas.openxmlformats.org/officeDocument/2006/relationships/hyperlink" Target="https://emuseum.ua/catalog/namu-portraits" TargetMode="External"/><Relationship Id="rId58" Type="http://schemas.openxmlformats.org/officeDocument/2006/relationships/hyperlink" Target="https://www.teamlab.art/e/planets/" TargetMode="External"/><Relationship Id="rId66" Type="http://schemas.openxmlformats.org/officeDocument/2006/relationships/hyperlink" Target="https://emuseum.ua/catalog/namu-portraits" TargetMode="External"/><Relationship Id="rId5" Type="http://schemas.openxmlformats.org/officeDocument/2006/relationships/footnotes" Target="footnotes.xml"/><Relationship Id="rId61" Type="http://schemas.openxmlformats.org/officeDocument/2006/relationships/image" Target="media/image4.png"/><Relationship Id="rId19" Type="http://schemas.openxmlformats.org/officeDocument/2006/relationships/hyperlink" Target="https://zakon.rada.gov.ua/laws/show/1389-2025-&#1087;" TargetMode="External"/><Relationship Id="rId14" Type="http://schemas.openxmlformats.org/officeDocument/2006/relationships/hyperlink" Target="https://khanenko.museum/3-d-tur-muzeyem/" TargetMode="External"/><Relationship Id="rId22" Type="http://schemas.openxmlformats.org/officeDocument/2006/relationships/hyperlink" Target="https://mcsc.gov.ua/news/czyfrovizacziya-muzejnogo-fondu-ukrayiny/" TargetMode="External"/><Relationship Id="rId27" Type="http://schemas.openxmlformats.org/officeDocument/2006/relationships/hyperlink" Target="https://euromaidanpress.com/2023/01/27/tribunal-or-restitution/" TargetMode="External"/><Relationship Id="rId30" Type="http://schemas.openxmlformats.org/officeDocument/2006/relationships/hyperlink" Target="https://jingdailyculture.com/rijksmuseum-rembrandt-night-watch-ai-restoration/" TargetMode="External"/><Relationship Id="rId35" Type="http://schemas.openxmlformats.org/officeDocument/2006/relationships/hyperlink" Target="https://www.rijksmuseum.nl/en/press/press-releases/for-the-first-time-in-300-years-the-night-watch-is-complete-again" TargetMode="External"/><Relationship Id="rId43" Type="http://schemas.openxmlformats.org/officeDocument/2006/relationships/hyperlink" Target="https://www.theartnewspaper.com/2026/02/23/ukrainian-heritage-fund-takes-shape-war-enters-fifth-year" TargetMode="External"/><Relationship Id="rId48" Type="http://schemas.openxmlformats.org/officeDocument/2006/relationships/hyperlink" Target="https://www.louvre.fr/en/explore/life-at-the-museum/mona-lisa-beyond-the-glass-the-louvre-s-first-virtual-reality-experience" TargetMode="External"/><Relationship Id="rId56" Type="http://schemas.openxmlformats.org/officeDocument/2006/relationships/hyperlink" Target="https://www.louvre.fr/en/explore/life-at-the-museum/mona-lisa-beyond-the-glass-the-louvre-s-first-virtual-reality-experience" TargetMode="External"/><Relationship Id="rId64" Type="http://schemas.openxmlformats.org/officeDocument/2006/relationships/hyperlink" Target="https://tourmkr.com/F1Cz6dIwOZ/40423083p&amp;3.15h&amp;97.94t" TargetMode="External"/><Relationship Id="rId69" Type="http://schemas.openxmlformats.org/officeDocument/2006/relationships/hyperlink" Target="https://gallery.sucho.org" TargetMode="External"/><Relationship Id="rId8" Type="http://schemas.openxmlformats.org/officeDocument/2006/relationships/hyperlink" Target="https://suspilne.media/culture/899393-za-pereosmislenna-svoei-roli-pid-cas-vijni-premiu-za-vidatni-muzejni-praktiki-otrimav-muzej-hanenkiv-u-kievi/" TargetMode="External"/><Relationship Id="rId51" Type="http://schemas.openxmlformats.org/officeDocument/2006/relationships/hyperlink" Target="https://www.tate.org.uk/art/artworks/matisse-the-snail-t0054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bazilik.media/pislia-poshkodzhennia-namu-rosijskym-udarom-iemuzej/" TargetMode="External"/><Relationship Id="rId17" Type="http://schemas.openxmlformats.org/officeDocument/2006/relationships/hyperlink" Target="https://zakon.rada.gov.ua/laws/show/1147-2000-&#1087;" TargetMode="External"/><Relationship Id="rId25" Type="http://schemas.openxmlformats.org/officeDocument/2006/relationships/hyperlink" Target="https://rd4u.coe.int/en/" TargetMode="External"/><Relationship Id="rId33" Type="http://schemas.openxmlformats.org/officeDocument/2006/relationships/hyperlink" Target="https://interfax.com.ua/news/culture/1171867.html" TargetMode="External"/><Relationship Id="rId38" Type="http://schemas.openxmlformats.org/officeDocument/2006/relationships/hyperlink" Target="https://www.rijksmuseum.nl/en/rijksstudio" TargetMode="External"/><Relationship Id="rId46" Type="http://schemas.openxmlformats.org/officeDocument/2006/relationships/hyperlink" Target="https://www.unesco.org/en/legal-affairs/charter-preservation-digital-heritage" TargetMode="External"/><Relationship Id="rId59" Type="http://schemas.openxmlformats.org/officeDocument/2006/relationships/image" Target="media/image3.jpeg"/><Relationship Id="rId67" Type="http://schemas.openxmlformats.org/officeDocument/2006/relationships/image" Target="media/image7.png"/><Relationship Id="rId20" Type="http://schemas.openxmlformats.org/officeDocument/2006/relationships/hyperlink" Target="https://museum.mincult.gov.ua" TargetMode="External"/><Relationship Id="rId41" Type="http://schemas.openxmlformats.org/officeDocument/2006/relationships/hyperlink" Target="https://www.tate.org.uk/research/tate-papers/19/tate-digital-strategy-2013-15-digital-as-a-dimension-of-everything" TargetMode="External"/><Relationship Id="rId54" Type="http://schemas.openxmlformats.org/officeDocument/2006/relationships/hyperlink" Target="https://gallery.sucho.org" TargetMode="External"/><Relationship Id="rId62" Type="http://schemas.openxmlformats.org/officeDocument/2006/relationships/hyperlink" Target="https://www.tate.org.uk/art/artworks/matisse-the-snail-t00540"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spilne.media/culture/1084355-nacionalnij-hudoznij-muzej-ukraini-povnistu-vidtvorili-u-virtualnij-realnosti/" TargetMode="External"/><Relationship Id="rId23" Type="http://schemas.openxmlformats.org/officeDocument/2006/relationships/hyperlink" Target="https://www.military.com/daily-news/2026/04/19/russia-has-looted-thousands-of-ukrainian-cultural-objects-war-finding-them-challenge.html" TargetMode="External"/><Relationship Id="rId28" Type="http://schemas.openxmlformats.org/officeDocument/2006/relationships/hyperlink" Target="https://www.euronews.com/next/2023/01/22/ukraine-is-racing-to-3d-scan-its-monuments-in-case-theyre-bombed-in-the-war-and-need-resto" TargetMode="External"/><Relationship Id="rId36" Type="http://schemas.openxmlformats.org/officeDocument/2006/relationships/hyperlink" Target="https://www.rijksmuseum.nl/en/press/press-releases/operation-night-watch-to-start-at-the-rijksmuseum" TargetMode="External"/><Relationship Id="rId49" Type="http://schemas.openxmlformats.org/officeDocument/2006/relationships/hyperlink" Target="https://www.teamlab.art/e/planets/" TargetMode="External"/><Relationship Id="rId57" Type="http://schemas.openxmlformats.org/officeDocument/2006/relationships/image" Target="media/image2.png"/><Relationship Id="rId10" Type="http://schemas.openxmlformats.org/officeDocument/2006/relationships/hyperlink" Target="https://glavcom.ua/kyiv/news/do-khudozhnoho-muzeju-u-kijevi-povernuto-kartinu-1059415.html" TargetMode="External"/><Relationship Id="rId31" Type="http://schemas.openxmlformats.org/officeDocument/2006/relationships/hyperlink" Target="https://news.artnet.com/art-world/rembrandt-the-night-watch-restoration-commences-2568095" TargetMode="External"/><Relationship Id="rId44" Type="http://schemas.openxmlformats.org/officeDocument/2006/relationships/hyperlink" Target="https://www.the-village.com.ua/village/culture/culture-news/286655" TargetMode="External"/><Relationship Id="rId52" Type="http://schemas.openxmlformats.org/officeDocument/2006/relationships/hyperlink" Target="https://tourmkr.com/F1Cz6dIwOZ/40423083p&amp;3.15h&amp;97.94t" TargetMode="External"/><Relationship Id="rId60" Type="http://schemas.openxmlformats.org/officeDocument/2006/relationships/hyperlink" Target="https://www.rijksmuseum.nl/en/stories/operation-night-watch/story/ultra-high-resolution-photo" TargetMode="External"/><Relationship Id="rId65"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ukraine.googleblog.com/2022/11/google-arts-culture.html" TargetMode="External"/><Relationship Id="rId13" Type="http://schemas.openxmlformats.org/officeDocument/2006/relationships/hyperlink" Target="https://lb.ua/culture/2025/05/14/676263_muzey_hanenkiv_provede_dnya_muzeiv.html" TargetMode="External"/><Relationship Id="rId18" Type="http://schemas.openxmlformats.org/officeDocument/2006/relationships/hyperlink" Target="https://zakon.rada.gov.ua/laws/show/z1445-14" TargetMode="External"/><Relationship Id="rId39" Type="http://schemas.openxmlformats.org/officeDocument/2006/relationships/hyperlink" Target="https://skeiron.com.ua" TargetMode="External"/><Relationship Id="rId34" Type="http://schemas.openxmlformats.org/officeDocument/2006/relationships/hyperlink" Target="https://news.artnet.com/art-world/louvre-embraced-virtual-reality-leonardo-blockbuster-1686169" TargetMode="External"/><Relationship Id="rId50" Type="http://schemas.openxmlformats.org/officeDocument/2006/relationships/hyperlink" Target="https://www.rijksmuseum.nl/en/stories/operation-night-watch/story/ultra-high-resolution-photo" TargetMode="External"/><Relationship Id="rId55"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88</Pages>
  <Words>23151</Words>
  <Characters>131965</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Admin</cp:lastModifiedBy>
  <cp:revision>15</cp:revision>
  <dcterms:created xsi:type="dcterms:W3CDTF">2026-06-06T12:20:00Z</dcterms:created>
  <dcterms:modified xsi:type="dcterms:W3CDTF">2026-06-19T07:17:00Z</dcterms:modified>
</cp:coreProperties>
</file>