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694" w:rsidRPr="009B6694" w:rsidRDefault="009B6694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9B6694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:rsidR="009B6694" w:rsidRPr="009B6694" w:rsidRDefault="009B6694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6694">
        <w:rPr>
          <w:rFonts w:ascii="Times New Roman" w:hAnsi="Times New Roman" w:cs="Times New Roman"/>
          <w:b/>
          <w:sz w:val="28"/>
          <w:szCs w:val="28"/>
          <w:lang w:val="uk-UA"/>
        </w:rPr>
        <w:t>НАЦІОНАЛЬНА АКАДЕМІЯ ОБРАЗОТВОРЧОГО МИСТЕЦТВА І</w:t>
      </w:r>
    </w:p>
    <w:p w:rsidR="009B6694" w:rsidRPr="009B6694" w:rsidRDefault="009B6694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6694">
        <w:rPr>
          <w:rFonts w:ascii="Times New Roman" w:hAnsi="Times New Roman" w:cs="Times New Roman"/>
          <w:b/>
          <w:sz w:val="28"/>
          <w:szCs w:val="28"/>
          <w:lang w:val="uk-UA"/>
        </w:rPr>
        <w:t>АРХІТЕКТУРИ</w:t>
      </w:r>
    </w:p>
    <w:p w:rsidR="009B6694" w:rsidRPr="009B6694" w:rsidRDefault="009B6694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6694">
        <w:rPr>
          <w:rFonts w:ascii="Times New Roman" w:hAnsi="Times New Roman" w:cs="Times New Roman"/>
          <w:b/>
          <w:sz w:val="28"/>
          <w:szCs w:val="28"/>
          <w:lang w:val="uk-UA"/>
        </w:rPr>
        <w:t>КАФЕДРА ЖИВОПИСУ І КОМПОЗИЦІЇ</w:t>
      </w:r>
    </w:p>
    <w:p w:rsidR="009B6694" w:rsidRPr="009B6694" w:rsidRDefault="009B6694" w:rsidP="009B66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B6694" w:rsidRPr="009B6694" w:rsidRDefault="009B6694" w:rsidP="009B6694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B669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правах рукопису </w:t>
      </w:r>
    </w:p>
    <w:p w:rsidR="009B6694" w:rsidRPr="009B6694" w:rsidRDefault="009B6694" w:rsidP="009B6694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6694" w:rsidRPr="009B6694" w:rsidRDefault="009B6694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6694">
        <w:rPr>
          <w:rFonts w:ascii="Times New Roman" w:hAnsi="Times New Roman" w:cs="Times New Roman"/>
          <w:b/>
          <w:sz w:val="28"/>
          <w:szCs w:val="28"/>
          <w:lang w:val="uk-UA"/>
        </w:rPr>
        <w:t>Кваліфікаційна магістерська робота</w:t>
      </w:r>
    </w:p>
    <w:p w:rsidR="009B6694" w:rsidRPr="009B6694" w:rsidRDefault="009B6694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6694">
        <w:rPr>
          <w:rFonts w:ascii="Times New Roman" w:hAnsi="Times New Roman" w:cs="Times New Roman"/>
          <w:b/>
          <w:sz w:val="28"/>
          <w:szCs w:val="28"/>
          <w:lang w:val="uk-UA"/>
        </w:rPr>
        <w:t>за темою:</w:t>
      </w:r>
    </w:p>
    <w:p w:rsidR="009B6694" w:rsidRPr="009B6694" w:rsidRDefault="009B6694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6694" w:rsidRPr="009B6694" w:rsidRDefault="00B56C26" w:rsidP="009B669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МОВА ОЛІЙНОГО ЖИВОПИСУ М. ФІШИНА</w:t>
      </w:r>
    </w:p>
    <w:p w:rsidR="009B6694" w:rsidRPr="009B6694" w:rsidRDefault="009B6694" w:rsidP="009B6694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2802" w:type="dxa"/>
        <w:tblLook w:val="04A0" w:firstRow="1" w:lastRow="0" w:firstColumn="1" w:lastColumn="0" w:noHBand="0" w:noVBand="1"/>
      </w:tblPr>
      <w:tblGrid>
        <w:gridCol w:w="2525"/>
        <w:gridCol w:w="4028"/>
      </w:tblGrid>
      <w:tr w:rsidR="009B6694" w:rsidRPr="009B6694" w:rsidTr="00255066">
        <w:tc>
          <w:tcPr>
            <w:tcW w:w="2693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Виконав:</w:t>
            </w:r>
          </w:p>
        </w:tc>
        <w:tc>
          <w:tcPr>
            <w:tcW w:w="4358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Студент 6 курсу, </w:t>
            </w:r>
          </w:p>
          <w:p w:rsidR="009B6694" w:rsidRPr="009B6694" w:rsidRDefault="009B6694" w:rsidP="009B66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Галузь знань: 02 Культура і мистецтво</w:t>
            </w:r>
          </w:p>
          <w:p w:rsidR="009B6694" w:rsidRPr="009B6694" w:rsidRDefault="009B6694" w:rsidP="009B66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Спеціальність 023 Образотворче мистецтво, декоративне мистецтво, реставрація </w:t>
            </w:r>
          </w:p>
          <w:p w:rsidR="009B6694" w:rsidRPr="009B6694" w:rsidRDefault="009B6694" w:rsidP="009B669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Жень Цзяле</w:t>
            </w:r>
          </w:p>
        </w:tc>
      </w:tr>
      <w:tr w:rsidR="009B6694" w:rsidRPr="009B6694" w:rsidTr="00255066">
        <w:tc>
          <w:tcPr>
            <w:tcW w:w="2693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Науковий керівник:</w:t>
            </w:r>
          </w:p>
        </w:tc>
        <w:tc>
          <w:tcPr>
            <w:tcW w:w="4358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кандидат педагогічних наук, доцент</w:t>
            </w:r>
          </w:p>
          <w:p w:rsidR="009B6694" w:rsidRPr="009B6694" w:rsidRDefault="009B6694" w:rsidP="009B6694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Козак Тетяна Валентинівна</w:t>
            </w:r>
          </w:p>
        </w:tc>
      </w:tr>
      <w:tr w:rsidR="009B6694" w:rsidRPr="009B6694" w:rsidTr="00255066">
        <w:tc>
          <w:tcPr>
            <w:tcW w:w="2693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Керівник майстерні: </w:t>
            </w:r>
          </w:p>
        </w:tc>
        <w:tc>
          <w:tcPr>
            <w:tcW w:w="4358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Професор </w:t>
            </w:r>
            <w:r w:rsidRPr="009B669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Гуйда Михайло Євгенович</w:t>
            </w:r>
          </w:p>
        </w:tc>
      </w:tr>
    </w:tbl>
    <w:p w:rsidR="009B6694" w:rsidRPr="009B6694" w:rsidRDefault="009B6694" w:rsidP="009B669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6C26" w:rsidRDefault="00B56C26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56C26" w:rsidRDefault="00B56C26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70A68" w:rsidRDefault="009B6694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6694">
        <w:rPr>
          <w:rFonts w:ascii="Times New Roman" w:hAnsi="Times New Roman" w:cs="Times New Roman"/>
          <w:b/>
          <w:sz w:val="28"/>
          <w:szCs w:val="28"/>
          <w:lang w:val="uk-UA"/>
        </w:rPr>
        <w:t>Київ – 2023</w:t>
      </w:r>
    </w:p>
    <w:p w:rsidR="009B6694" w:rsidRDefault="009B6694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B6694" w:rsidRPr="009B6694" w:rsidRDefault="009B6694" w:rsidP="009B669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tbl>
      <w:tblPr>
        <w:tblW w:w="9777" w:type="dxa"/>
        <w:tblLayout w:type="fixed"/>
        <w:tblLook w:val="04A0" w:firstRow="1" w:lastRow="0" w:firstColumn="1" w:lastColumn="0" w:noHBand="0" w:noVBand="1"/>
      </w:tblPr>
      <w:tblGrid>
        <w:gridCol w:w="1129"/>
        <w:gridCol w:w="7655"/>
        <w:gridCol w:w="993"/>
      </w:tblGrid>
      <w:tr w:rsidR="009B6694" w:rsidRPr="009B6694" w:rsidTr="00B56C26">
        <w:tc>
          <w:tcPr>
            <w:tcW w:w="8784" w:type="dxa"/>
            <w:gridSpan w:val="2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ВСТУП</w:t>
            </w: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…….………………………………………………………………..</w:t>
            </w:r>
          </w:p>
        </w:tc>
        <w:tc>
          <w:tcPr>
            <w:tcW w:w="993" w:type="dxa"/>
          </w:tcPr>
          <w:p w:rsidR="009B6694" w:rsidRPr="009B6694" w:rsidRDefault="009B6694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</w:tr>
      <w:tr w:rsidR="009B6694" w:rsidRPr="009B6694" w:rsidTr="00B56C26">
        <w:tc>
          <w:tcPr>
            <w:tcW w:w="8784" w:type="dxa"/>
            <w:gridSpan w:val="2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РОЗДІЛ 1. </w:t>
            </w:r>
            <w:r w:rsidRPr="009B669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ТЕОРЕТИЧНІ ЗАСАДИ ДОСЛІДЖЕННЯ</w:t>
            </w: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……………….</w:t>
            </w:r>
          </w:p>
        </w:tc>
        <w:tc>
          <w:tcPr>
            <w:tcW w:w="993" w:type="dxa"/>
          </w:tcPr>
          <w:p w:rsidR="009B6694" w:rsidRPr="009B6694" w:rsidRDefault="009B6694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</w:tr>
      <w:tr w:rsidR="009B6694" w:rsidRPr="009B6694" w:rsidTr="00B56C26">
        <w:tc>
          <w:tcPr>
            <w:tcW w:w="1129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bookmarkStart w:id="1" w:name="_Hlk153309059"/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1.1. </w:t>
            </w:r>
          </w:p>
        </w:tc>
        <w:tc>
          <w:tcPr>
            <w:tcW w:w="7655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Особливості мови лінійного рисунку олійного живопису Ніколи Фешена</w:t>
            </w:r>
          </w:p>
        </w:tc>
        <w:tc>
          <w:tcPr>
            <w:tcW w:w="993" w:type="dxa"/>
          </w:tcPr>
          <w:p w:rsidR="009B6694" w:rsidRPr="009B6694" w:rsidRDefault="009B6694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</w:tr>
      <w:bookmarkEnd w:id="1"/>
      <w:tr w:rsidR="009B6694" w:rsidRPr="009B6694" w:rsidTr="00B56C26">
        <w:tc>
          <w:tcPr>
            <w:tcW w:w="1129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1.2. </w:t>
            </w:r>
          </w:p>
        </w:tc>
        <w:tc>
          <w:tcPr>
            <w:tcW w:w="7655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Вплив особливостей мови олійного живопису Миколи Фешена на творчі практики художника</w:t>
            </w:r>
          </w:p>
        </w:tc>
        <w:tc>
          <w:tcPr>
            <w:tcW w:w="993" w:type="dxa"/>
          </w:tcPr>
          <w:p w:rsidR="009B6694" w:rsidRPr="009B6694" w:rsidRDefault="009B6694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</w:t>
            </w:r>
          </w:p>
        </w:tc>
      </w:tr>
      <w:tr w:rsidR="009B6694" w:rsidRPr="009B6694" w:rsidTr="00B56C26">
        <w:tc>
          <w:tcPr>
            <w:tcW w:w="1129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Висновки до першого розділу…………………………………..</w:t>
            </w:r>
          </w:p>
        </w:tc>
        <w:tc>
          <w:tcPr>
            <w:tcW w:w="993" w:type="dxa"/>
          </w:tcPr>
          <w:p w:rsidR="009B6694" w:rsidRPr="009B6694" w:rsidRDefault="009B6694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</w:t>
            </w:r>
          </w:p>
        </w:tc>
      </w:tr>
      <w:tr w:rsidR="009B6694" w:rsidRPr="009B6694" w:rsidTr="00B56C26">
        <w:tc>
          <w:tcPr>
            <w:tcW w:w="8784" w:type="dxa"/>
            <w:gridSpan w:val="2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РОЗДІЛ 2. </w:t>
            </w:r>
            <w:r w:rsidRPr="009B669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ЕТАПИ ВИКОНАННЯ ТВОЧОГО ПРОЕКТУ </w:t>
            </w: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………….</w:t>
            </w:r>
          </w:p>
        </w:tc>
        <w:tc>
          <w:tcPr>
            <w:tcW w:w="993" w:type="dxa"/>
          </w:tcPr>
          <w:p w:rsidR="009B6694" w:rsidRPr="009B6694" w:rsidRDefault="00B56C26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</w:t>
            </w:r>
          </w:p>
        </w:tc>
      </w:tr>
      <w:tr w:rsidR="009B6694" w:rsidRPr="009B6694" w:rsidTr="00B56C26">
        <w:tc>
          <w:tcPr>
            <w:tcW w:w="1129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2.1. </w:t>
            </w:r>
          </w:p>
        </w:tc>
        <w:tc>
          <w:tcPr>
            <w:tcW w:w="7655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Композиційне розміщення зображення на листі  та передача характеру форми предметів і їх пропорцій…………………….</w:t>
            </w:r>
          </w:p>
        </w:tc>
        <w:tc>
          <w:tcPr>
            <w:tcW w:w="993" w:type="dxa"/>
          </w:tcPr>
          <w:p w:rsidR="009B6694" w:rsidRDefault="009B6694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  <w:p w:rsidR="00B56C26" w:rsidRPr="009B6694" w:rsidRDefault="00B56C26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7</w:t>
            </w:r>
          </w:p>
        </w:tc>
      </w:tr>
      <w:tr w:rsidR="009B6694" w:rsidRPr="009B6694" w:rsidTr="00B56C26">
        <w:trPr>
          <w:trHeight w:val="1018"/>
        </w:trPr>
        <w:tc>
          <w:tcPr>
            <w:tcW w:w="1129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2.2. </w:t>
            </w:r>
          </w:p>
        </w:tc>
        <w:tc>
          <w:tcPr>
            <w:tcW w:w="7655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Конструктивний аналіз форми предметів і перспективна побудова зображення на площині та виявлення об’єму предметів засобами світлотіні…………………………………..</w:t>
            </w:r>
          </w:p>
        </w:tc>
        <w:tc>
          <w:tcPr>
            <w:tcW w:w="993" w:type="dxa"/>
          </w:tcPr>
          <w:p w:rsidR="009B6694" w:rsidRPr="009B6694" w:rsidRDefault="009B6694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  <w:p w:rsidR="009B6694" w:rsidRPr="009B6694" w:rsidRDefault="00B56C26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10</w:t>
            </w:r>
          </w:p>
        </w:tc>
      </w:tr>
      <w:tr w:rsidR="009B6694" w:rsidRPr="009B6694" w:rsidTr="00B56C26">
        <w:tc>
          <w:tcPr>
            <w:tcW w:w="1129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2.3.    </w:t>
            </w:r>
          </w:p>
        </w:tc>
        <w:tc>
          <w:tcPr>
            <w:tcW w:w="7655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Детальна прорисовка форм предметів та синтез - підведення підсумку готової роботи або творчого проекту………………..</w:t>
            </w:r>
          </w:p>
        </w:tc>
        <w:tc>
          <w:tcPr>
            <w:tcW w:w="993" w:type="dxa"/>
          </w:tcPr>
          <w:p w:rsidR="009B6694" w:rsidRPr="009B6694" w:rsidRDefault="009B6694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  <w:p w:rsidR="009B6694" w:rsidRPr="009B6694" w:rsidRDefault="00B56C26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11</w:t>
            </w:r>
          </w:p>
        </w:tc>
      </w:tr>
      <w:tr w:rsidR="009B6694" w:rsidRPr="009B6694" w:rsidTr="00B56C26">
        <w:tc>
          <w:tcPr>
            <w:tcW w:w="1129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7655" w:type="dxa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Висновки до другого розділу……………………………………</w:t>
            </w:r>
          </w:p>
        </w:tc>
        <w:tc>
          <w:tcPr>
            <w:tcW w:w="993" w:type="dxa"/>
          </w:tcPr>
          <w:p w:rsidR="009B6694" w:rsidRPr="009B6694" w:rsidRDefault="00B56C26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12</w:t>
            </w:r>
          </w:p>
        </w:tc>
      </w:tr>
      <w:tr w:rsidR="009B6694" w:rsidRPr="009B6694" w:rsidTr="00B56C26">
        <w:tc>
          <w:tcPr>
            <w:tcW w:w="8784" w:type="dxa"/>
            <w:gridSpan w:val="2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ВИСНОВКИ</w:t>
            </w: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………………………………………………………………..</w:t>
            </w:r>
          </w:p>
        </w:tc>
        <w:tc>
          <w:tcPr>
            <w:tcW w:w="993" w:type="dxa"/>
          </w:tcPr>
          <w:p w:rsidR="009B6694" w:rsidRPr="009B6694" w:rsidRDefault="00B56C26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14</w:t>
            </w:r>
          </w:p>
        </w:tc>
      </w:tr>
      <w:tr w:rsidR="009B6694" w:rsidRPr="009B6694" w:rsidTr="00B56C26">
        <w:tc>
          <w:tcPr>
            <w:tcW w:w="8784" w:type="dxa"/>
            <w:gridSpan w:val="2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СПИСОК ВИКОРИСТАНИХ ДЖЕРЕЛ</w:t>
            </w: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………………………………..</w:t>
            </w:r>
          </w:p>
        </w:tc>
        <w:tc>
          <w:tcPr>
            <w:tcW w:w="993" w:type="dxa"/>
          </w:tcPr>
          <w:p w:rsidR="009B6694" w:rsidRPr="009B6694" w:rsidRDefault="00B56C26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15</w:t>
            </w:r>
          </w:p>
        </w:tc>
      </w:tr>
      <w:tr w:rsidR="009B6694" w:rsidRPr="009B6694" w:rsidTr="00B56C26">
        <w:tc>
          <w:tcPr>
            <w:tcW w:w="8784" w:type="dxa"/>
            <w:gridSpan w:val="2"/>
          </w:tcPr>
          <w:p w:rsidR="009B6694" w:rsidRPr="009B6694" w:rsidRDefault="009B6694" w:rsidP="009B6694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9B669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ДОДАТКИ</w:t>
            </w:r>
            <w:r w:rsidRPr="009B6694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…………………………………………………………………..</w:t>
            </w:r>
          </w:p>
        </w:tc>
        <w:tc>
          <w:tcPr>
            <w:tcW w:w="993" w:type="dxa"/>
          </w:tcPr>
          <w:p w:rsidR="009B6694" w:rsidRPr="009B6694" w:rsidRDefault="00B56C26" w:rsidP="009B669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16</w:t>
            </w:r>
          </w:p>
        </w:tc>
      </w:tr>
    </w:tbl>
    <w:p w:rsidR="009B6694" w:rsidRDefault="009B6694">
      <w:pPr>
        <w:rPr>
          <w:rFonts w:ascii="Times New Roman" w:hAnsi="Times New Roman" w:cs="Times New Roman"/>
          <w:sz w:val="28"/>
          <w:szCs w:val="28"/>
        </w:rPr>
      </w:pPr>
    </w:p>
    <w:p w:rsidR="009B6694" w:rsidRDefault="009B6694">
      <w:pPr>
        <w:rPr>
          <w:rFonts w:ascii="Times New Roman" w:hAnsi="Times New Roman" w:cs="Times New Roman"/>
          <w:sz w:val="28"/>
          <w:szCs w:val="28"/>
        </w:rPr>
      </w:pPr>
    </w:p>
    <w:p w:rsidR="009B6694" w:rsidRDefault="009B6694">
      <w:pPr>
        <w:rPr>
          <w:rFonts w:ascii="Times New Roman" w:hAnsi="Times New Roman" w:cs="Times New Roman"/>
          <w:sz w:val="28"/>
          <w:szCs w:val="28"/>
        </w:rPr>
      </w:pPr>
    </w:p>
    <w:p w:rsidR="009B6694" w:rsidRDefault="009B6694">
      <w:pPr>
        <w:rPr>
          <w:rFonts w:ascii="Times New Roman" w:hAnsi="Times New Roman" w:cs="Times New Roman"/>
          <w:sz w:val="28"/>
          <w:szCs w:val="28"/>
        </w:rPr>
      </w:pPr>
    </w:p>
    <w:p w:rsidR="009B6694" w:rsidRDefault="009B6694">
      <w:pPr>
        <w:rPr>
          <w:rFonts w:ascii="Times New Roman" w:hAnsi="Times New Roman" w:cs="Times New Roman"/>
          <w:sz w:val="28"/>
          <w:szCs w:val="28"/>
        </w:rPr>
      </w:pPr>
    </w:p>
    <w:p w:rsidR="009B6694" w:rsidRDefault="009B6694">
      <w:pPr>
        <w:rPr>
          <w:rFonts w:ascii="Times New Roman" w:hAnsi="Times New Roman" w:cs="Times New Roman"/>
          <w:sz w:val="28"/>
          <w:szCs w:val="28"/>
        </w:rPr>
      </w:pPr>
    </w:p>
    <w:p w:rsidR="009B6694" w:rsidRDefault="009B6694">
      <w:pPr>
        <w:rPr>
          <w:rFonts w:ascii="Times New Roman" w:hAnsi="Times New Roman" w:cs="Times New Roman"/>
          <w:sz w:val="28"/>
          <w:szCs w:val="28"/>
        </w:rPr>
      </w:pPr>
    </w:p>
    <w:p w:rsidR="009B6694" w:rsidRDefault="009B6694">
      <w:pPr>
        <w:rPr>
          <w:rFonts w:ascii="Times New Roman" w:hAnsi="Times New Roman" w:cs="Times New Roman"/>
          <w:sz w:val="28"/>
          <w:szCs w:val="28"/>
        </w:rPr>
      </w:pPr>
    </w:p>
    <w:p w:rsidR="009B6694" w:rsidRDefault="009B6694">
      <w:pPr>
        <w:rPr>
          <w:rFonts w:ascii="Times New Roman" w:hAnsi="Times New Roman" w:cs="Times New Roman"/>
          <w:sz w:val="28"/>
          <w:szCs w:val="28"/>
        </w:rPr>
      </w:pPr>
    </w:p>
    <w:p w:rsidR="009B6694" w:rsidRDefault="009B6694">
      <w:pPr>
        <w:rPr>
          <w:rFonts w:ascii="Times New Roman" w:hAnsi="Times New Roman" w:cs="Times New Roman"/>
          <w:sz w:val="28"/>
          <w:szCs w:val="28"/>
        </w:rPr>
      </w:pPr>
    </w:p>
    <w:p w:rsidR="00DD0C43" w:rsidRPr="00DD0C43" w:rsidRDefault="00DD0C43" w:rsidP="00DD0C4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0C43"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</w:p>
    <w:p w:rsidR="00DD0C43" w:rsidRPr="00DD0C43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C43">
        <w:rPr>
          <w:rFonts w:ascii="Times New Roman" w:hAnsi="Times New Roman" w:cs="Times New Roman"/>
          <w:b/>
          <w:sz w:val="28"/>
          <w:szCs w:val="28"/>
        </w:rPr>
        <w:t>Актуальність теми.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D0C43">
        <w:rPr>
          <w:rFonts w:ascii="Times New Roman" w:hAnsi="Times New Roman" w:cs="Times New Roman"/>
          <w:sz w:val="28"/>
          <w:szCs w:val="28"/>
        </w:rPr>
        <w:t xml:space="preserve">Хоча малюнок і олійний живопис - це дві різні форми художнього вираження, для одного і того ж художника спосіб бачення однаковий. У процесі створення своїх олійних портретів Фешин  застосовує метод прямого малювання, спочатку позначаючи краї структури, що впливає на форму, довгими мазками темних кольорів, а потім, використовуючи олійні фарби, натискає на структуру широкими мазками, з великою точністю і силою в кожному мазку, що потрапляє на форму. </w:t>
      </w:r>
    </w:p>
    <w:p w:rsidR="00DD0C43" w:rsidRPr="00DD0C43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C43">
        <w:rPr>
          <w:rFonts w:ascii="Times New Roman" w:hAnsi="Times New Roman" w:cs="Times New Roman"/>
          <w:sz w:val="28"/>
          <w:szCs w:val="28"/>
        </w:rPr>
        <w:t>Регулярність такого способу використання пензля дуже схожа на ритм "письма" в китайській каліграфії. Хоча мазки лягають на форму, вони не роблять малюнок надто щільним і жорстким, а завжди є кілька розмашистих мазків, які виявляють багато, здавалося б, випадкових фактур. Автор поступово засвоїв багаті виражальні прийоми та художню мову Фешин, такі як узагальнення, товщина, розрідженість, єдність тощо, і спробував застосувати їх у власному творчому процесі.</w:t>
      </w:r>
    </w:p>
    <w:p w:rsidR="00DD0C43" w:rsidRPr="00DD0C43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C43">
        <w:rPr>
          <w:rFonts w:ascii="Times New Roman" w:hAnsi="Times New Roman" w:cs="Times New Roman"/>
          <w:sz w:val="28"/>
          <w:szCs w:val="28"/>
        </w:rPr>
        <w:t>У створенні "Пастушки" художник прагне досягти повноти образу персонажа, використовуючи широкі мазки, щоб узагальнити напрямок і обриси одягу, використовуючи дрібні мазки, щоб додати деталі кольорів, і створюючи контрастний живописний зв'язок між фоном і персонажем. Завдяки вивченню та розумінню олійних полотен Фешин, автор поступово усвідомив методи та правила використання формальної мови в живописі, і почав розуміти, як виражати складні об'єктивні природні об'єкти за допомогою вдосконалення та узагальнення художньої мови та використання зрілих технік. Від копіювання та відтворення природних об'єктів до використання мови художніх форм, а також у поєднанні з вивченням каліграфії, лінійного стилю моделювання, автор у процесі творчості відчув значення використання мови форми для створення сенсу.</w:t>
      </w:r>
    </w:p>
    <w:p w:rsidR="00DD0C43" w:rsidRPr="00DD0C43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C43">
        <w:rPr>
          <w:rFonts w:ascii="Times New Roman" w:hAnsi="Times New Roman" w:cs="Times New Roman"/>
          <w:b/>
          <w:sz w:val="28"/>
          <w:szCs w:val="28"/>
        </w:rPr>
        <w:t>Мета дослідження</w:t>
      </w:r>
      <w:r w:rsidRPr="00DD0C43">
        <w:rPr>
          <w:rFonts w:ascii="Times New Roman" w:hAnsi="Times New Roman" w:cs="Times New Roman"/>
          <w:sz w:val="28"/>
          <w:szCs w:val="28"/>
        </w:rPr>
        <w:t xml:space="preserve"> полягає в теоретичному обґрунтуванні, створенні творчого проекту та методичне послідовне виконання творчого проекту за певними етапами. </w:t>
      </w:r>
    </w:p>
    <w:p w:rsidR="00DD0C43" w:rsidRPr="00DD0C43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C43">
        <w:rPr>
          <w:rFonts w:ascii="Times New Roman" w:hAnsi="Times New Roman" w:cs="Times New Roman"/>
          <w:sz w:val="28"/>
          <w:szCs w:val="28"/>
        </w:rPr>
        <w:lastRenderedPageBreak/>
        <w:t>Відповідно до мети визначено такі завдання дослідження:</w:t>
      </w:r>
    </w:p>
    <w:p w:rsidR="00DD0C43" w:rsidRPr="00DD0C43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C43">
        <w:rPr>
          <w:rFonts w:ascii="Times New Roman" w:hAnsi="Times New Roman" w:cs="Times New Roman"/>
          <w:sz w:val="28"/>
          <w:szCs w:val="28"/>
        </w:rPr>
        <w:t>1.</w:t>
      </w:r>
      <w:r w:rsidRPr="00DD0C43">
        <w:rPr>
          <w:rFonts w:ascii="Times New Roman" w:hAnsi="Times New Roman" w:cs="Times New Roman"/>
          <w:sz w:val="28"/>
          <w:szCs w:val="28"/>
        </w:rPr>
        <w:tab/>
        <w:t>Аналіз історичних джерел, мистецтвознавчої, бібліофільської літератури, охарактеризувати стан досліджуваної проблеми.</w:t>
      </w:r>
    </w:p>
    <w:p w:rsidR="00DD0C43" w:rsidRPr="00930200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0C43">
        <w:rPr>
          <w:rFonts w:ascii="Times New Roman" w:hAnsi="Times New Roman" w:cs="Times New Roman"/>
          <w:sz w:val="28"/>
          <w:szCs w:val="28"/>
        </w:rPr>
        <w:t>2.</w:t>
      </w:r>
      <w:r w:rsidRPr="00DD0C43">
        <w:rPr>
          <w:rFonts w:ascii="Times New Roman" w:hAnsi="Times New Roman" w:cs="Times New Roman"/>
          <w:sz w:val="28"/>
          <w:szCs w:val="28"/>
        </w:rPr>
        <w:tab/>
        <w:t>Охарактеризувати</w:t>
      </w:r>
      <w:r w:rsidR="00930200" w:rsidRPr="00930200">
        <w:t xml:space="preserve"> </w:t>
      </w:r>
      <w:r w:rsidR="00930200">
        <w:rPr>
          <w:rFonts w:ascii="Times New Roman" w:hAnsi="Times New Roman" w:cs="Times New Roman"/>
          <w:sz w:val="28"/>
          <w:szCs w:val="28"/>
        </w:rPr>
        <w:t>л</w:t>
      </w:r>
      <w:r w:rsidR="00930200" w:rsidRPr="00930200">
        <w:rPr>
          <w:rFonts w:ascii="Times New Roman" w:hAnsi="Times New Roman" w:cs="Times New Roman"/>
          <w:sz w:val="28"/>
          <w:szCs w:val="28"/>
        </w:rPr>
        <w:t>інгвістичні особливості олійного живопису Миколи Фішина та їхній вплив на практику художньої творчості</w:t>
      </w:r>
      <w:r w:rsidR="009302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0C43" w:rsidRPr="00DD0C43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0C43">
        <w:rPr>
          <w:rFonts w:ascii="Times New Roman" w:hAnsi="Times New Roman" w:cs="Times New Roman"/>
          <w:sz w:val="28"/>
          <w:szCs w:val="28"/>
        </w:rPr>
        <w:t>3.</w:t>
      </w:r>
      <w:r w:rsidRPr="00DD0C43">
        <w:rPr>
          <w:rFonts w:ascii="Times New Roman" w:hAnsi="Times New Roman" w:cs="Times New Roman"/>
          <w:sz w:val="28"/>
          <w:szCs w:val="28"/>
        </w:rPr>
        <w:tab/>
        <w:t>Створити власну творчу роботу.</w:t>
      </w:r>
    </w:p>
    <w:p w:rsidR="00DD0C43" w:rsidRPr="00930200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0200">
        <w:rPr>
          <w:rFonts w:ascii="Times New Roman" w:hAnsi="Times New Roman" w:cs="Times New Roman"/>
          <w:b/>
          <w:i/>
          <w:sz w:val="28"/>
          <w:szCs w:val="28"/>
        </w:rPr>
        <w:t>Об’єкт дослідження:</w:t>
      </w:r>
      <w:r w:rsidRPr="00DD0C43">
        <w:rPr>
          <w:rFonts w:ascii="Times New Roman" w:hAnsi="Times New Roman" w:cs="Times New Roman"/>
          <w:sz w:val="28"/>
          <w:szCs w:val="28"/>
        </w:rPr>
        <w:t xml:space="preserve"> </w:t>
      </w:r>
      <w:r w:rsidR="00930200" w:rsidRPr="00930200">
        <w:rPr>
          <w:rFonts w:ascii="Times New Roman" w:hAnsi="Times New Roman" w:cs="Times New Roman"/>
          <w:sz w:val="28"/>
          <w:szCs w:val="28"/>
        </w:rPr>
        <w:t>лінгвістичні особливості олійного живопису Миколи Фішина та їхній вплив на практику художньої творчості</w:t>
      </w:r>
      <w:r w:rsidR="009302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0C43" w:rsidRPr="00930200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0200">
        <w:rPr>
          <w:rFonts w:ascii="Times New Roman" w:hAnsi="Times New Roman" w:cs="Times New Roman"/>
          <w:b/>
          <w:i/>
          <w:sz w:val="28"/>
          <w:szCs w:val="28"/>
        </w:rPr>
        <w:t>Предмет дослідження:</w:t>
      </w:r>
      <w:r w:rsidRPr="00DD0C43">
        <w:rPr>
          <w:rFonts w:ascii="Times New Roman" w:hAnsi="Times New Roman" w:cs="Times New Roman"/>
          <w:sz w:val="28"/>
          <w:szCs w:val="28"/>
        </w:rPr>
        <w:t xml:space="preserve"> </w:t>
      </w:r>
      <w:r w:rsidR="00930200" w:rsidRPr="00930200">
        <w:rPr>
          <w:rFonts w:ascii="Times New Roman" w:hAnsi="Times New Roman" w:cs="Times New Roman"/>
          <w:sz w:val="28"/>
          <w:szCs w:val="28"/>
        </w:rPr>
        <w:t>лінгвістичні особливості олійного живопису</w:t>
      </w:r>
      <w:r w:rsidR="009302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0C43" w:rsidRPr="00DD0C43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200">
        <w:rPr>
          <w:rFonts w:ascii="Times New Roman" w:hAnsi="Times New Roman" w:cs="Times New Roman"/>
          <w:b/>
          <w:sz w:val="28"/>
          <w:szCs w:val="28"/>
        </w:rPr>
        <w:t>Методологічну основу дослідження</w:t>
      </w:r>
      <w:r w:rsidRPr="00DD0C43">
        <w:rPr>
          <w:rFonts w:ascii="Times New Roman" w:hAnsi="Times New Roman" w:cs="Times New Roman"/>
          <w:sz w:val="28"/>
          <w:szCs w:val="28"/>
        </w:rPr>
        <w:t xml:space="preserve"> складає комплекс загально- та конкретно наукових методів і підходів для вирішення поставлених завдань: ретроспективний аналіз, узагальнення та систематизація філософської, мистецтвознавчої літератури та інформаційних джерел для з’ясування стану розробленості проблематики дослідження; аксіологічний метод вжито для ціннісних характеристик творів мистецтв; компаративний (історико- порівняльний) метод дав можливість проаналізувати характерні ознаки народного живопису.</w:t>
      </w:r>
    </w:p>
    <w:p w:rsidR="00DD0C43" w:rsidRPr="00DD0C43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200">
        <w:rPr>
          <w:rFonts w:ascii="Times New Roman" w:hAnsi="Times New Roman" w:cs="Times New Roman"/>
          <w:b/>
          <w:sz w:val="28"/>
          <w:szCs w:val="28"/>
        </w:rPr>
        <w:t>Теоретичне і практичне значення роботи.</w:t>
      </w:r>
      <w:r w:rsidRPr="00DD0C43">
        <w:rPr>
          <w:rFonts w:ascii="Times New Roman" w:hAnsi="Times New Roman" w:cs="Times New Roman"/>
          <w:sz w:val="28"/>
          <w:szCs w:val="28"/>
        </w:rPr>
        <w:t xml:space="preserve"> Теоретичні аспекти даного дослідження можуть бути використані при написанні наукових праць, історії художньої культури, мистецтвознавства, краєзнавства. Практичне значення можуть бути використанні на кусах з мистецтвознавства. </w:t>
      </w:r>
    </w:p>
    <w:p w:rsidR="00DD0C43" w:rsidRPr="00DD0C43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0200">
        <w:rPr>
          <w:rFonts w:ascii="Times New Roman" w:hAnsi="Times New Roman" w:cs="Times New Roman"/>
          <w:b/>
          <w:sz w:val="28"/>
          <w:szCs w:val="28"/>
        </w:rPr>
        <w:t>Структура i oбсяг магістерської роботи</w:t>
      </w:r>
      <w:r w:rsidRPr="00DD0C43">
        <w:rPr>
          <w:rFonts w:ascii="Times New Roman" w:hAnsi="Times New Roman" w:cs="Times New Roman"/>
          <w:sz w:val="28"/>
          <w:szCs w:val="28"/>
        </w:rPr>
        <w:t xml:space="preserve">. Рoбoта складається зi вступу, двох рoздiлiв, виснoвкiв до кожного розділу, загальних висновків, списку викoристаних джерел. Робота містить: рисунків </w:t>
      </w:r>
      <w:r w:rsidR="00B56C26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DD0C43">
        <w:rPr>
          <w:rFonts w:ascii="Times New Roman" w:hAnsi="Times New Roman" w:cs="Times New Roman"/>
          <w:sz w:val="28"/>
          <w:szCs w:val="28"/>
        </w:rPr>
        <w:t xml:space="preserve">, дoдатків 1. Загальний обсяг становить </w:t>
      </w:r>
      <w:r w:rsidR="00B56C26">
        <w:rPr>
          <w:rFonts w:ascii="Times New Roman" w:hAnsi="Times New Roman" w:cs="Times New Roman"/>
          <w:sz w:val="28"/>
          <w:szCs w:val="28"/>
          <w:lang w:val="uk-UA"/>
        </w:rPr>
        <w:t>16</w:t>
      </w:r>
      <w:r w:rsidRPr="00DD0C43">
        <w:rPr>
          <w:rFonts w:ascii="Times New Roman" w:hAnsi="Times New Roman" w:cs="Times New Roman"/>
          <w:sz w:val="28"/>
          <w:szCs w:val="28"/>
        </w:rPr>
        <w:t xml:space="preserve"> стoрiнок, із них – 1</w:t>
      </w:r>
      <w:r w:rsidR="00B56C26">
        <w:rPr>
          <w:rFonts w:ascii="Times New Roman" w:hAnsi="Times New Roman" w:cs="Times New Roman"/>
          <w:sz w:val="28"/>
          <w:szCs w:val="28"/>
        </w:rPr>
        <w:t>4</w:t>
      </w:r>
      <w:r w:rsidRPr="00DD0C43">
        <w:rPr>
          <w:rFonts w:ascii="Times New Roman" w:hAnsi="Times New Roman" w:cs="Times New Roman"/>
          <w:sz w:val="28"/>
          <w:szCs w:val="28"/>
        </w:rPr>
        <w:t xml:space="preserve"> стoрiнок oснoвнoгo тексту. Список використаних джерел нараховує 4 найменування.</w:t>
      </w:r>
    </w:p>
    <w:p w:rsidR="00DD0C43" w:rsidRDefault="00DD0C43" w:rsidP="00DD0C4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C43" w:rsidRDefault="00DD0C43" w:rsidP="00DD0C4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C43" w:rsidRDefault="00DD0C43" w:rsidP="00DD0C4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200" w:rsidRDefault="00930200" w:rsidP="00DD0C4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1280" w:rsidRPr="00B56C26" w:rsidRDefault="00F31280" w:rsidP="00B56C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</w:rPr>
        <w:lastRenderedPageBreak/>
        <w:t>РОЗДІЛ 1</w:t>
      </w:r>
    </w:p>
    <w:p w:rsidR="00F31280" w:rsidRPr="00B56C26" w:rsidRDefault="00F31280" w:rsidP="00B56C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</w:rPr>
        <w:t>ТЕОРЕТИЧНІ ЗАСАДИ ДОСЛІДЖЕННЯ</w:t>
      </w:r>
    </w:p>
    <w:p w:rsidR="00F31280" w:rsidRPr="00B56C26" w:rsidRDefault="00F31280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1.1. </w:t>
      </w:r>
      <w:r w:rsidRPr="00B56C26">
        <w:rPr>
          <w:rFonts w:ascii="Times New Roman" w:hAnsi="Times New Roman" w:cs="Times New Roman"/>
          <w:b/>
          <w:sz w:val="28"/>
          <w:szCs w:val="28"/>
        </w:rPr>
        <w:t>Особливості мови лінійного рисунку олійного живопису Ніколи Фешена</w:t>
      </w:r>
    </w:p>
    <w:p w:rsidR="00F31280" w:rsidRPr="00B56C26" w:rsidRDefault="00F31280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Фешин особливо добре малює портрети. Його олійні картини та малюнки мають великий вплив у китайському мистецькому світі, особливо його портретні малюнки, які відомі своїми чіткими та яскравими, сильними та потужними штрихами та лініями. Його олійні картини, з іншого боку, мають широкі та нестримні мазки, густу текстуру, насичені та яскраві кольори, і не втрачають вертикальних та красивих характеристик моделювання, як за формою, так і за кольором. Його олійні картини спостережливі і написані таким чином, що підкреслюють контури форми, а підкреслюючи контури, він встановлює основний каркас і естетичний інтерес картини, що є типовим стилем "лінійного малюнка".</w:t>
      </w:r>
    </w:p>
    <w:p w:rsidR="00F31280" w:rsidRPr="00B56C26" w:rsidRDefault="00F31280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Цей стиль "малювання лінією" та регулярність використання пензля дуже близькі до "письма" китайського живопису та каліграфії. Так зване "живопис і каліграфія мають однакове походження" також може бути використане для дослідження спільності між китайським і західним живописом.</w:t>
      </w:r>
    </w:p>
    <w:p w:rsidR="009B6694" w:rsidRPr="00B56C26" w:rsidRDefault="00F31280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Робота пензля Фешинвключає підмітання, розминання та розтирання, які також схожі на розминання, розтирання та гачкування в каліграфії. Кольори Фешин сповнені характеристик імпресіоністичних кольорів, але трактування Фешин  країв є однозначним, і ми все ще починаємо відчувати багатство роботи в цих прекрасних контурах, які ми бачимо присутніми в трактуванні Фешин  внутрішніх форм.</w:t>
      </w:r>
    </w:p>
    <w:p w:rsidR="009B6694" w:rsidRPr="00B56C26" w:rsidRDefault="00F31280" w:rsidP="00B56C2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56C26">
        <w:rPr>
          <w:rFonts w:ascii="Times New Roman" w:hAnsi="Times New Roman" w:cs="Times New Roman"/>
          <w:sz w:val="28"/>
          <w:szCs w:val="28"/>
        </w:rPr>
        <w:t>Вплив особливостей мови олійного живопису Миколи Фешена на творчі практики художника</w:t>
      </w:r>
      <w:r w:rsidR="00930200" w:rsidRPr="00B56C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0200" w:rsidRDefault="00930200" w:rsidP="00B56C2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56C26" w:rsidRDefault="00B56C26" w:rsidP="00B56C2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56C26" w:rsidRPr="00B56C26" w:rsidRDefault="00B56C26" w:rsidP="00B56C2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B6694" w:rsidRPr="00B56C26" w:rsidRDefault="00DD0C43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1.2. </w:t>
      </w:r>
      <w:r w:rsidRPr="00B56C26">
        <w:rPr>
          <w:rFonts w:ascii="Times New Roman" w:hAnsi="Times New Roman" w:cs="Times New Roman"/>
          <w:b/>
          <w:sz w:val="28"/>
          <w:szCs w:val="28"/>
        </w:rPr>
        <w:t>Вплив особливостей мови олійного живопису Миколи Фешена на творчі практики художника</w:t>
      </w:r>
    </w:p>
    <w:p w:rsidR="00DD0C43" w:rsidRPr="00B56C26" w:rsidRDefault="00DD0C43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Художник завжди звертає нашу візуальну увагу на стилістичні особливості, передані лінією, щоб глядач знайшов інтерес і красу в контурах фігури. Те саме можна сказати про картини Дюрера чи Гольбейна, які відповідають визначенню Вольфрінга про стиль "малювання лінією". В олійних полотнах Фешин  також тяжіє до узагальненого зображення фігури. Тому в моделюванні фігури в дипломному проекті ми запозичили узагальнений спосіб роботи з контурними лініями в олійних полотнах Фешина.</w:t>
      </w:r>
    </w:p>
    <w:p w:rsidR="009B6694" w:rsidRPr="00B56C26" w:rsidRDefault="00DD0C43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На першому етапі ми розглядаємо зовнішній контур фігури на картині в цілому, використовуючи довгі, прямі лінії з повними дугами для створення зовнішнього контуру фігури. Уся робота має трикутну композицію, з далеким небом як тлом, що відтіняє фігуру і слугує зображенню, надаючи картині відчуття простору і глибини.</w:t>
      </w:r>
    </w:p>
    <w:p w:rsidR="009B6694" w:rsidRPr="00B56C26" w:rsidRDefault="009B6694" w:rsidP="00B56C2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B6694" w:rsidRPr="00B56C26" w:rsidRDefault="00DD0C43" w:rsidP="00B56C26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</w:rPr>
        <w:t>Висновки до першого розділу</w:t>
      </w:r>
    </w:p>
    <w:p w:rsidR="00DD0C43" w:rsidRP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Щоб не зруйнувати загальний взаємозв'язок картини, вся робота спирається на підхід Фей Сінь до взаємовідносин між тлом і фігурами. Тло може бути коротко окреслене для створення настрою, тоді як одяг і обличчя фігур ретельно прописані, а волосся окреслене насиченими кольорами. Тло відтіняє одяг, одяг відтіняє обличчя, а обличчя перегукується з одягом і тлом. Три основні взаємозв'язки на картині - це обличчя, потім одяг і, нарешті, тло. Таким чином, ми можемо досягти ефекту вираження гуманістичної культури китайських етнічних меншин.</w:t>
      </w:r>
    </w:p>
    <w:p w:rsidR="00DD0C43" w:rsidRPr="00B56C26" w:rsidRDefault="00DD0C43" w:rsidP="00B56C2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C43" w:rsidRPr="00B56C26" w:rsidRDefault="00DD0C43" w:rsidP="00B56C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</w:rPr>
        <w:lastRenderedPageBreak/>
        <w:t>РОЗДІЛ 2</w:t>
      </w:r>
    </w:p>
    <w:p w:rsidR="00DD0C43" w:rsidRPr="00B56C26" w:rsidRDefault="00DD0C43" w:rsidP="00B56C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</w:rPr>
        <w:t>ЕТАПИ ВИКОНАННЯ ТВОЧОГО ПРОЕКТУ</w:t>
      </w:r>
    </w:p>
    <w:p w:rsidR="00DD0C43" w:rsidRPr="00B56C26" w:rsidRDefault="00DD0C43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2.1. </w:t>
      </w:r>
      <w:r w:rsidRPr="00B56C26">
        <w:rPr>
          <w:rFonts w:ascii="Times New Roman" w:hAnsi="Times New Roman" w:cs="Times New Roman"/>
          <w:b/>
          <w:sz w:val="28"/>
          <w:szCs w:val="28"/>
        </w:rPr>
        <w:t>Композиційне розміщення зображення на листі та передача характеру форми предметів і їх пропорцій</w:t>
      </w:r>
    </w:p>
    <w:p w:rsidR="00DD0C43" w:rsidRPr="00B56C26" w:rsidRDefault="00DD0C43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"Художник завжди звертає нашу візуальну увагу на стилістичні особливості, передані лінією, щоб глядач знайшов інтерес і красу в контурах фігури. Те саме можна сказати про картини Дюрера чи Гольбейна, які відповідають визначенню Вольфрінга про стиль "малювання лінією". В олійних полотнах Фешин  також тяжіє до узагальненого зображення фігури. Тому в моделюванні фігури в дипломному проекті ми запозичили узагальнений спосіб роботи з контурними лініями в олійних полотнах Фешина.</w:t>
      </w:r>
    </w:p>
    <w:p w:rsidR="009B6694" w:rsidRPr="00B56C26" w:rsidRDefault="00DD0C43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На першому етапі ми розглядаємо зовнішній контур фігури на картині в цілому, використовуючи довгі, прямі лінії з повними дугами для створення зовнішнього контуру фігури. Уся робота має трикутну композицію, з далеким небом як тлом, що відтіняє фігуру і слугує зображенню, надаючи картині відчуття простору і глибини.</w:t>
      </w:r>
    </w:p>
    <w:p w:rsidR="00DD0C43" w:rsidRPr="00B56C26" w:rsidRDefault="00DD0C43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F849C4">
            <wp:extent cx="3035935" cy="4048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Другий крок, тому що в олійному живописі контраст кольорових відносин є важливою частиною контрастних відносин у роботі, а в мові живопису кольорові відносини ще більше використовуються як основна мова відносин у живописі. Кольори цієї роботи відносно однорідні, яскравість і чистота яких контролюється в межах відносно гармонійного діапазону. Мета цієї роботи - підкреслити характерні риси етнічного вбрання та персонажів етнічних меншин. Зміни кольорів роблять картину більш насиченою.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На третьому етапі методом прямого малювання широкими мазками намічаємо лінію подолу та складки сукні, використовуючи чорні та білі тони, щоб підкреслити варіації світлих, сірих та темних поверхонь. А також за допомогою рядів пензлів окреслити положення неба та білих хмар, щоб на наступному етапі відкоригувати гармонію картини.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AF1D70">
            <wp:extent cx="1908175" cy="2773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6C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6259F">
            <wp:extent cx="2060575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Четвертий крок - спробувати диференціювати кольорову палітру, що використовується для світлих і темних частин тону шкіри персонажа при створенні роботи, використовуючи різні співвідношення кольорів, таких як червоний, фуксія, ультрамарин, землисто-жовтий, титановий білий, охра і так далі, щоб виразити світлість і темряву шкіри, а також розрізнити світлі і темні сторони шкіри при сонячному освітленні.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На основі першого малюнка було розпочато роботу над другим малюнком, а також над вдосконаленням загального вигляду костюма. Спочатку детально промальовується ліва частина костюма дівчинки, а потім детально промальовується права частина костюма дівчинки. Використовуйте трохи більший пензель з тонким ворсом для накладання фарб, поступово збільшуючи товщину костюма, додаючи костюму текстуру за рахунок змішування фарб і підкреслюючи зміни кольору костюма під сонячним світлом. Пензлі з меншим ворсом використовуються для прикрашання і виділення деталей, щоб збільшити контраст між світлим і темним.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Цей процес в основному представлений плоскою фарбою, густою фарбою, розтиранням і нанесенням штрихів.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D4EEB1">
            <wp:extent cx="2243455" cy="3230880"/>
            <wp:effectExtent l="0" t="0" r="444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6C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48E761">
            <wp:extent cx="2322830" cy="3230880"/>
            <wp:effectExtent l="0" t="0" r="127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Крок 5: Допрацюйте деталі обличчя та голови персонажа.</w:t>
      </w: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На основі другої картини почніть деталізацію третьої. У процесі щоденного вивчення картин Фешин  ми продовжуємо вчитися на його кольорових контрастах і беремо за об'єкт вивчення його олійні картини людей, особливо портрети аборигенів. Колірна палітра обличчя поступово вдосконалювалася від початкових пастельних тонів до правильних відтінків.</w:t>
      </w: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2.2. </w:t>
      </w:r>
      <w:r w:rsidRPr="00B56C26">
        <w:rPr>
          <w:rFonts w:ascii="Times New Roman" w:hAnsi="Times New Roman" w:cs="Times New Roman"/>
          <w:b/>
          <w:sz w:val="28"/>
          <w:szCs w:val="28"/>
        </w:rPr>
        <w:t>Конструктивний аналіз форми предметів і перспективна побудова зображення на площині та виявлення об’єму предметів засобами світлотіні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56C26">
        <w:rPr>
          <w:rFonts w:ascii="Times New Roman" w:hAnsi="Times New Roman" w:cs="Times New Roman"/>
          <w:sz w:val="28"/>
          <w:szCs w:val="28"/>
        </w:rPr>
        <w:t>икористовуйте контурний пензель, щоб покращити травлення волосся та вовни. Потім використовуйте пензлик з волосяного ворсу свині, щоб пропрацювати частини вовни на комірі.</w:t>
      </w:r>
    </w:p>
    <w:p w:rsidR="005A0C19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 xml:space="preserve">Щоб не зруйнувати загальний взаємозв'язок картини, вся робота спирається на підхід Фей Сінь до взаємовідносин між тлом і фігурами. Тло може бути коротко окреслене для створення настрою, тоді як одяг і обличчя фігур ретельно прописані, а волосся окреслене насиченими кольорами. Тло відтіняє одяг, одяг відтіняє обличчя, а обличчя перегукується з одягом і тлом. </w:t>
      </w:r>
      <w:r w:rsidRPr="00B56C26">
        <w:rPr>
          <w:rFonts w:ascii="Times New Roman" w:hAnsi="Times New Roman" w:cs="Times New Roman"/>
          <w:sz w:val="28"/>
          <w:szCs w:val="28"/>
        </w:rPr>
        <w:lastRenderedPageBreak/>
        <w:t>Три основні взаємозв'язки на картині - це обличчя, потім одяг і, нарешті, тло. Таким чином, ми можемо досягти ефекту вираження гуманістичної культури китайських етнічних меншин.</w:t>
      </w:r>
    </w:p>
    <w:p w:rsidR="00B56C26" w:rsidRP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BADCB">
            <wp:extent cx="2243455" cy="3230880"/>
            <wp:effectExtent l="0" t="0" r="444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6C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45E3FE">
            <wp:extent cx="2322830" cy="3230880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2.3. </w:t>
      </w:r>
      <w:r w:rsidRPr="00B56C26">
        <w:rPr>
          <w:rFonts w:ascii="Times New Roman" w:hAnsi="Times New Roman" w:cs="Times New Roman"/>
          <w:b/>
          <w:sz w:val="28"/>
          <w:szCs w:val="28"/>
        </w:rPr>
        <w:t>Детальна прорисовка форм предметів та синтез - підведення підсумку готової роботи або творчого проекту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56C26">
        <w:rPr>
          <w:rFonts w:ascii="Times New Roman" w:hAnsi="Times New Roman" w:cs="Times New Roman"/>
          <w:bCs/>
          <w:sz w:val="28"/>
          <w:szCs w:val="28"/>
          <w:lang w:val="uk-UA"/>
        </w:rPr>
        <w:t>Мистецтво походить від життя, але є над життям". Основою будь-якого мистецтва є життя, а творіння митців мають певний національний характер і стиль часу, які є похідними від національних культурних традицій країни.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56C26">
        <w:rPr>
          <w:rFonts w:ascii="Times New Roman" w:hAnsi="Times New Roman" w:cs="Times New Roman"/>
          <w:bCs/>
          <w:sz w:val="28"/>
          <w:szCs w:val="28"/>
          <w:lang w:val="uk-UA"/>
        </w:rPr>
        <w:t>Художник Вень Ліпенг якось сказав: "Використання мови олійного живопису для вираження культури нації є основною ідеєю реформування та розвитку олійного живопису в Китаї". У багатьох роботах Фешин використовує олійний живопис для вираження культури свого народу.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56C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Для того, щоб люди могли оцінити чарівність розмаїття китайської нації, необхідно показати характерні риси та спільні риси китайських меншин. Картини олійними фарбами Шеньсі часто запозичені з гуманітарних наук та мистецтв, виплеканих на Леському плато, де вони розташовані, а їхні конотації та тони яскраві та захоплені, тому основними об'єктами творчості обрано </w:t>
      </w:r>
      <w:r w:rsidRPr="00B56C26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дівчат-пастушок національних меншин. У них ми бачимо тонкість і самозаглибленість східного народу, сором'язливість і грайливість молодих дівчат, а також енергійність і спокій, подаровані їм природою.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7395C">
            <wp:extent cx="2505710" cy="3347085"/>
            <wp:effectExtent l="0" t="0" r="889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56C26">
        <w:rPr>
          <w:rFonts w:ascii="Times New Roman" w:hAnsi="Times New Roman" w:cs="Times New Roman"/>
          <w:b/>
          <w:sz w:val="28"/>
          <w:szCs w:val="28"/>
          <w:lang w:val="uk-UA"/>
        </w:rPr>
        <w:t>Висновки до другого розділу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 xml:space="preserve">Хоча малюнок і олійний живопис - це дві різні форми художнього вираження, для одного і того ж художника спосіб бачення однаковий. У процесі створення своїх олійних портретів Фешин  застосовує метод прямого малювання, спочатку позначаючи краї структури, що впливає на форму, довгими мазками темних кольорів, а потім, використовуючи олійні фарби, натискає на структуру широкими мазками, з великою точністю і силою в кожному мазку, що потрапляє на форму. 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 xml:space="preserve">Регулярність такого способу використання пензля дуже схожа на ритм "письма" в китайській каліграфії. Хоча мазки лягають на форму, вони не роблять малюнок надто щільним і жорстким, а завжди є кілька розмашистих мазків, які виявляють багато, здавалося б, випадкових фактур. Автор поступово засвоїв багаті виражальні прийоми та художню мову Фешин, такі </w:t>
      </w:r>
      <w:r w:rsidRPr="00B56C26">
        <w:rPr>
          <w:rFonts w:ascii="Times New Roman" w:hAnsi="Times New Roman" w:cs="Times New Roman"/>
          <w:sz w:val="28"/>
          <w:szCs w:val="28"/>
        </w:rPr>
        <w:lastRenderedPageBreak/>
        <w:t>як узагальнення, товщина, розрідженість, єдність тощо, і спробував застосувати їх у власному творчому процесі.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У створенні "Пастушки" художник прагне досягти повноти образу персонажа, використовуючи широкі мазки, щоб узагальнити напрямок і обриси одягу, використовуючи дрібні мазки, щоб додати деталі кольорів, і створюючи контрастний живописний зв'язок між фоном і персонажем. Завдяки вивченню та розумінню олійних полотен Фешин, автор поступово усвідомив методи та правила використання формальної мови в живописі, і почав розуміти, як виражати складні об'єктивні природні об'єкти за допомогою вдосконалення та узагальнення художньої мови та використання зрілих технік. Від копіювання та відтворення природних об'єктів до використання мови художніх форм, а також у поєднанні з вивченням каліграфії, лінійного стилю моделювання, автор у процесі творчості відчув значення використання мови форми для створення сенсу.</w:t>
      </w:r>
    </w:p>
    <w:p w:rsidR="005A0C19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P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0C19" w:rsidRPr="00B56C26" w:rsidRDefault="005A0C19" w:rsidP="00B56C2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56C2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ВИСНОВКИ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Олійний живопис відрізняється від каліграфії та китайського живопису своїми художніми матеріалами, художніми характеристиками, методами створення та художньою мовою. Багатошарова виразність, насиченість кольорів і здатність до моделювання олійного живопису допомагають мені, як студенту-живописцю, глибше розуміти і вивчати мистецтво.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Сьогодні олійний живопис, як і інші види мистецтва, є одним з основних напрямків китайського мистецтва. Ми повинні не тільки вивчати різноманітні техніки олійного живопису, а й засвоювати багатогранні властивості олійного живопису, щоб олійний живопис міг мати свій власний китайський національний стиль. Як початківець в олійному живописі, я сподіваюся активно шукати спільність китайського та західного мистецтва та інтеграцію технік живопису в довгому процесі навчання мистецтву. Завдяки серйозним дослідженням, старанній практиці та постійним роздумам досягти зростання мистецтва олійного живопису.</w:t>
      </w:r>
    </w:p>
    <w:p w:rsidR="005A0C19" w:rsidRPr="00B56C26" w:rsidRDefault="005A0C19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sz w:val="28"/>
          <w:szCs w:val="28"/>
        </w:rPr>
        <w:t>Ця робота - не лише виклик для мене з точки зору розміру, стилю і техніки олійного живопису, але й просування китайської національної ідентичності, і я сподіваюся, що цей мир і стабільність дійдуть і до України.</w:t>
      </w:r>
    </w:p>
    <w:p w:rsidR="005A0C19" w:rsidRDefault="005A0C19" w:rsidP="005A0C1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C26" w:rsidRDefault="00B56C26" w:rsidP="00B56C2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C19" w:rsidRPr="00B56C26" w:rsidRDefault="005A0C19" w:rsidP="00B56C26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</w:rPr>
        <w:lastRenderedPageBreak/>
        <w:t>СПИСОК ВИКОРИСТАНИХ ДЖЕРЕЛ</w:t>
      </w: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5A0C19" w:rsidRPr="005A0C19">
        <w:rPr>
          <w:rFonts w:ascii="Times New Roman" w:hAnsi="Times New Roman" w:cs="Times New Roman"/>
          <w:sz w:val="28"/>
          <w:szCs w:val="28"/>
        </w:rPr>
        <w:t>. Лугіна М. Мировой арт-рынок вырос на 12%: в США и Китае активно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C19" w:rsidRPr="005A0C19">
        <w:rPr>
          <w:rFonts w:ascii="Times New Roman" w:hAnsi="Times New Roman" w:cs="Times New Roman"/>
          <w:sz w:val="28"/>
          <w:szCs w:val="28"/>
        </w:rPr>
        <w:t>заключают сделки, а Украина прячется / Л</w:t>
      </w:r>
      <w:r>
        <w:rPr>
          <w:rFonts w:ascii="Times New Roman" w:hAnsi="Times New Roman" w:cs="Times New Roman"/>
          <w:sz w:val="28"/>
          <w:szCs w:val="28"/>
        </w:rPr>
        <w:t xml:space="preserve">угіна М. [Електронний ресурс]. </w:t>
      </w:r>
      <w:r w:rsidR="005A0C19" w:rsidRPr="005A0C19">
        <w:rPr>
          <w:rFonts w:ascii="Times New Roman" w:hAnsi="Times New Roman" w:cs="Times New Roman"/>
          <w:sz w:val="28"/>
          <w:szCs w:val="28"/>
        </w:rPr>
        <w:t>Текст. дані. – Режим доступу: https://ubr.ua/leisure/it-is-interesting/mirovoiartrynok-vyros-na-12-v-ssha-i-kitae-aktivno-zakluchautsa-sdelki-a-ukrainapriachetsa-3866784 (дата звернення 21.04.2020).</w:t>
      </w: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5A0C19" w:rsidRPr="005A0C19">
        <w:rPr>
          <w:rFonts w:ascii="Times New Roman" w:hAnsi="Times New Roman" w:cs="Times New Roman"/>
          <w:sz w:val="28"/>
          <w:szCs w:val="28"/>
        </w:rPr>
        <w:t>. Буцикіна Є. Ціна мистецтва: як</w:t>
      </w:r>
      <w:r>
        <w:rPr>
          <w:rFonts w:ascii="Times New Roman" w:hAnsi="Times New Roman" w:cs="Times New Roman"/>
          <w:sz w:val="28"/>
          <w:szCs w:val="28"/>
        </w:rPr>
        <w:t xml:space="preserve"> молодому художнику заробити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C19" w:rsidRPr="005A0C19">
        <w:rPr>
          <w:rFonts w:ascii="Times New Roman" w:hAnsi="Times New Roman" w:cs="Times New Roman"/>
          <w:sz w:val="28"/>
          <w:szCs w:val="28"/>
        </w:rPr>
        <w:t>власних творах / Євгенія Буцикіна [Електронний ресурс]. – Текст. дані. – Режим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C19" w:rsidRPr="005A0C19">
        <w:rPr>
          <w:rFonts w:ascii="Times New Roman" w:hAnsi="Times New Roman" w:cs="Times New Roman"/>
          <w:sz w:val="28"/>
          <w:szCs w:val="28"/>
        </w:rPr>
        <w:t>доступу: https://mind.ua/openmind/20199188-cina-mistectva-yak-molodomuhudozhniku-zarobiti-na-vlasnih-tvorah (дата звернення 22.04.2020).</w:t>
      </w:r>
    </w:p>
    <w:p w:rsidR="005A0C19" w:rsidRPr="005A0C19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A0C19" w:rsidRPr="005A0C19">
        <w:rPr>
          <w:rFonts w:ascii="Times New Roman" w:hAnsi="Times New Roman" w:cs="Times New Roman"/>
          <w:sz w:val="28"/>
          <w:szCs w:val="28"/>
        </w:rPr>
        <w:t>. Павліченко Н. Художній ринок Києва (кінець ХІХ – початок ХХІ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C19" w:rsidRPr="005A0C19">
        <w:rPr>
          <w:rFonts w:ascii="Times New Roman" w:hAnsi="Times New Roman" w:cs="Times New Roman"/>
          <w:sz w:val="28"/>
          <w:szCs w:val="28"/>
        </w:rPr>
        <w:t xml:space="preserve">століть): особливості функціонування </w:t>
      </w:r>
      <w:r>
        <w:rPr>
          <w:rFonts w:ascii="Times New Roman" w:hAnsi="Times New Roman" w:cs="Times New Roman"/>
          <w:sz w:val="28"/>
          <w:szCs w:val="28"/>
        </w:rPr>
        <w:t>та типологічні характеристики /</w:t>
      </w:r>
      <w:r w:rsidR="005A0C19" w:rsidRPr="005A0C19">
        <w:rPr>
          <w:rFonts w:ascii="Times New Roman" w:hAnsi="Times New Roman" w:cs="Times New Roman"/>
          <w:sz w:val="28"/>
          <w:szCs w:val="28"/>
        </w:rPr>
        <w:t>Павліченко Н. – Дисертація на здобу</w:t>
      </w:r>
      <w:r>
        <w:rPr>
          <w:rFonts w:ascii="Times New Roman" w:hAnsi="Times New Roman" w:cs="Times New Roman"/>
          <w:sz w:val="28"/>
          <w:szCs w:val="28"/>
        </w:rPr>
        <w:t>ття наукового ступеня кандидата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C19" w:rsidRPr="005A0C19">
        <w:rPr>
          <w:rFonts w:ascii="Times New Roman" w:hAnsi="Times New Roman" w:cs="Times New Roman"/>
          <w:sz w:val="28"/>
          <w:szCs w:val="28"/>
        </w:rPr>
        <w:t>культурології / Міністерство освіти і науки України Національний Університет</w:t>
      </w:r>
    </w:p>
    <w:p w:rsidR="005A0C19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A0C19" w:rsidRPr="005A0C19">
        <w:rPr>
          <w:rFonts w:ascii="Times New Roman" w:hAnsi="Times New Roman" w:cs="Times New Roman"/>
          <w:sz w:val="28"/>
          <w:szCs w:val="28"/>
        </w:rPr>
        <w:t>. Герасимова А. Омани й шаленства</w:t>
      </w:r>
      <w:r>
        <w:rPr>
          <w:rFonts w:ascii="Times New Roman" w:hAnsi="Times New Roman" w:cs="Times New Roman"/>
          <w:sz w:val="28"/>
          <w:szCs w:val="28"/>
        </w:rPr>
        <w:t xml:space="preserve"> сучасного артринку / Анастасия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C19" w:rsidRPr="005A0C19">
        <w:rPr>
          <w:rFonts w:ascii="Times New Roman" w:hAnsi="Times New Roman" w:cs="Times New Roman"/>
          <w:sz w:val="28"/>
          <w:szCs w:val="28"/>
        </w:rPr>
        <w:t xml:space="preserve">Герасимова [Електронний ресурс]. </w:t>
      </w:r>
      <w:r>
        <w:rPr>
          <w:rFonts w:ascii="Times New Roman" w:hAnsi="Times New Roman" w:cs="Times New Roman"/>
          <w:sz w:val="28"/>
          <w:szCs w:val="28"/>
        </w:rPr>
        <w:t>– Текст. дані. – Режим доступу: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C19" w:rsidRPr="005A0C19">
        <w:rPr>
          <w:rFonts w:ascii="Times New Roman" w:hAnsi="Times New Roman" w:cs="Times New Roman"/>
          <w:sz w:val="28"/>
          <w:szCs w:val="28"/>
        </w:rPr>
        <w:t>http://artukraine.com.ua/a/omani-y-shalens</w:t>
      </w:r>
      <w:r>
        <w:rPr>
          <w:rFonts w:ascii="Times New Roman" w:hAnsi="Times New Roman" w:cs="Times New Roman"/>
          <w:sz w:val="28"/>
          <w:szCs w:val="28"/>
        </w:rPr>
        <w:t>tva-suchasnogo-art-rinku/ (дата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C19" w:rsidRPr="005A0C19">
        <w:rPr>
          <w:rFonts w:ascii="Times New Roman" w:hAnsi="Times New Roman" w:cs="Times New Roman"/>
          <w:sz w:val="28"/>
          <w:szCs w:val="28"/>
        </w:rPr>
        <w:t>звернення 22.04.2020).</w:t>
      </w: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6C26" w:rsidRDefault="00B56C26" w:rsidP="00B56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0C19" w:rsidRDefault="005A0C19" w:rsidP="00B56C2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56C26">
        <w:rPr>
          <w:rFonts w:ascii="Times New Roman" w:hAnsi="Times New Roman" w:cs="Times New Roman"/>
          <w:b/>
          <w:sz w:val="28"/>
          <w:szCs w:val="28"/>
        </w:rPr>
        <w:lastRenderedPageBreak/>
        <w:t>ДОДАТКИ</w:t>
      </w:r>
    </w:p>
    <w:p w:rsidR="00B56C26" w:rsidRPr="009B6694" w:rsidRDefault="00B56C26" w:rsidP="005A0C1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36751">
            <wp:extent cx="2505710" cy="3347085"/>
            <wp:effectExtent l="0" t="0" r="889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56C26" w:rsidRPr="009B6694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AEB" w:rsidRDefault="00D23AEB" w:rsidP="005A0C19">
      <w:pPr>
        <w:spacing w:after="0" w:line="240" w:lineRule="auto"/>
      </w:pPr>
      <w:r>
        <w:separator/>
      </w:r>
    </w:p>
  </w:endnote>
  <w:endnote w:type="continuationSeparator" w:id="0">
    <w:p w:rsidR="00D23AEB" w:rsidRDefault="00D23AEB" w:rsidP="005A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AEB" w:rsidRDefault="00D23AEB" w:rsidP="005A0C19">
      <w:pPr>
        <w:spacing w:after="0" w:line="240" w:lineRule="auto"/>
      </w:pPr>
      <w:r>
        <w:separator/>
      </w:r>
    </w:p>
  </w:footnote>
  <w:footnote w:type="continuationSeparator" w:id="0">
    <w:p w:rsidR="00D23AEB" w:rsidRDefault="00D23AEB" w:rsidP="005A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8243926"/>
      <w:docPartObj>
        <w:docPartGallery w:val="Page Numbers (Top of Page)"/>
        <w:docPartUnique/>
      </w:docPartObj>
    </w:sdtPr>
    <w:sdtEndPr/>
    <w:sdtContent>
      <w:p w:rsidR="005A0C19" w:rsidRDefault="005A0C1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D78">
          <w:rPr>
            <w:noProof/>
          </w:rPr>
          <w:t>1</w:t>
        </w:r>
        <w:r>
          <w:fldChar w:fldCharType="end"/>
        </w:r>
      </w:p>
    </w:sdtContent>
  </w:sdt>
  <w:p w:rsidR="005A0C19" w:rsidRDefault="005A0C1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094"/>
    <w:rsid w:val="00315094"/>
    <w:rsid w:val="005A0C19"/>
    <w:rsid w:val="006F1D78"/>
    <w:rsid w:val="00930200"/>
    <w:rsid w:val="009B6694"/>
    <w:rsid w:val="00A4034B"/>
    <w:rsid w:val="00B56C26"/>
    <w:rsid w:val="00D23AEB"/>
    <w:rsid w:val="00DD0C43"/>
    <w:rsid w:val="00F31280"/>
    <w:rsid w:val="00F7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1E3AF-8483-4089-97B4-4B8AB202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28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A0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0C19"/>
  </w:style>
  <w:style w:type="paragraph" w:styleId="a6">
    <w:name w:val="footer"/>
    <w:basedOn w:val="a"/>
    <w:link w:val="a7"/>
    <w:uiPriority w:val="99"/>
    <w:unhideWhenUsed/>
    <w:rsid w:val="005A0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0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2593</Words>
  <Characters>14783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dcterms:created xsi:type="dcterms:W3CDTF">2024-01-08T14:04:00Z</dcterms:created>
  <dcterms:modified xsi:type="dcterms:W3CDTF">2024-01-08T14:04:00Z</dcterms:modified>
</cp:coreProperties>
</file>